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Narrow" w:hAnsi="Arial Narrow"/>
          <w:b/>
          <w:b/>
          <w:sz w:val="22"/>
        </w:rPr>
      </w:pPr>
      <w:r>
        <w:rPr>
          <w:rFonts w:ascii="Arial Narrow" w:hAnsi="Arial Narrow"/>
          <w:b/>
          <w:sz w:val="22"/>
        </w:rPr>
      </w:r>
    </w:p>
    <w:p>
      <w:pPr>
        <w:pStyle w:val="Normal"/>
        <w:shd w:val="clear" w:color="auto" w:fill="D9D9D9" w:themeFill="background1" w:themeFillShade="d9"/>
        <w:tabs>
          <w:tab w:val="left" w:pos="1485" w:leader="none"/>
        </w:tabs>
        <w:ind w:left="425" w:hanging="0"/>
        <w:jc w:val="center"/>
        <w:rPr/>
      </w:pPr>
      <w:r>
        <w:rPr>
          <w:rFonts w:eastAsia="SimSun" w:cs="Mangal" w:ascii="Arial Narrow" w:hAnsi="Arial Narrow"/>
          <w:b/>
          <w:sz w:val="22"/>
          <w:szCs w:val="24"/>
          <w:lang w:eastAsia="hi-IN" w:bidi="hi-IN"/>
        </w:rPr>
        <w:t>Załącznik – Opis przedmiotu zamówienia</w:t>
      </w:r>
    </w:p>
    <w:p>
      <w:pPr>
        <w:pStyle w:val="Normal"/>
        <w:ind w:left="0" w:hanging="0"/>
        <w:jc w:val="center"/>
        <w:rPr>
          <w:rFonts w:ascii="Arial Narrow" w:hAnsi="Arial Narrow"/>
          <w:b/>
          <w:b/>
          <w:bCs/>
          <w:sz w:val="12"/>
          <w:szCs w:val="22"/>
          <w:u w:val="single"/>
          <w:lang w:eastAsia="en-US"/>
        </w:rPr>
      </w:pPr>
      <w:r>
        <w:rPr>
          <w:rFonts w:ascii="Arial Narrow" w:hAnsi="Arial Narrow"/>
          <w:b/>
          <w:bCs/>
          <w:sz w:val="12"/>
          <w:szCs w:val="22"/>
          <w:u w:val="single"/>
          <w:lang w:eastAsia="en-US"/>
        </w:rPr>
      </w:r>
    </w:p>
    <w:p>
      <w:pPr>
        <w:pStyle w:val="Style11"/>
        <w:numPr>
          <w:ilvl w:val="0"/>
          <w:numId w:val="1"/>
        </w:numPr>
        <w:spacing w:before="57" w:after="57"/>
        <w:jc w:val="both"/>
        <w:rPr>
          <w:rFonts w:ascii="Arial Narrow" w:hAnsi="Arial Narrow"/>
          <w:sz w:val="22"/>
          <w:szCs w:val="22"/>
        </w:rPr>
      </w:pPr>
      <w:r>
        <w:rPr>
          <w:rFonts w:ascii="Arial Narrow" w:hAnsi="Arial Narrow"/>
          <w:sz w:val="22"/>
          <w:szCs w:val="22"/>
        </w:rPr>
        <w:t>Dostawa wraz z montażem sygnalizacji uprzywilejowania w ruchu drogowym w pojazdach służbowych Policji, zwanej dalej „sygnalizacją” 5 sztukach pojazdów o następujących parametrach:</w:t>
      </w:r>
    </w:p>
    <w:p>
      <w:pPr>
        <w:pStyle w:val="Style11"/>
        <w:numPr>
          <w:ilvl w:val="1"/>
          <w:numId w:val="1"/>
        </w:numPr>
        <w:ind w:left="1134" w:hanging="737"/>
        <w:jc w:val="both"/>
        <w:rPr>
          <w:rFonts w:ascii="Arial Narrow" w:hAnsi="Arial Narrow"/>
          <w:sz w:val="22"/>
          <w:szCs w:val="22"/>
        </w:rPr>
      </w:pPr>
      <w:r>
        <w:rPr>
          <w:rFonts w:ascii="Arial Narrow" w:hAnsi="Arial Narrow"/>
          <w:sz w:val="22"/>
          <w:szCs w:val="22"/>
        </w:rPr>
        <w:t>osobowy segmentu D rok produkcji 2025,</w:t>
      </w:r>
    </w:p>
    <w:p>
      <w:pPr>
        <w:pStyle w:val="Style11"/>
        <w:numPr>
          <w:ilvl w:val="1"/>
          <w:numId w:val="1"/>
        </w:numPr>
        <w:ind w:left="1134" w:hanging="737"/>
        <w:jc w:val="both"/>
        <w:rPr>
          <w:rFonts w:ascii="Arial Narrow" w:hAnsi="Arial Narrow"/>
          <w:sz w:val="22"/>
          <w:szCs w:val="22"/>
        </w:rPr>
      </w:pPr>
      <w:r>
        <w:rPr>
          <w:rFonts w:ascii="Arial Narrow" w:hAnsi="Arial Narrow"/>
          <w:sz w:val="22"/>
          <w:szCs w:val="22"/>
        </w:rPr>
        <w:t>osobowy segmentu C typu SUV rok produkcji 2025,</w:t>
      </w:r>
    </w:p>
    <w:p>
      <w:pPr>
        <w:pStyle w:val="Style11"/>
        <w:numPr>
          <w:ilvl w:val="1"/>
          <w:numId w:val="1"/>
        </w:numPr>
        <w:ind w:left="1134" w:hanging="737"/>
        <w:jc w:val="both"/>
        <w:rPr>
          <w:rFonts w:ascii="Arial Narrow" w:hAnsi="Arial Narrow"/>
          <w:sz w:val="22"/>
          <w:szCs w:val="22"/>
        </w:rPr>
      </w:pPr>
      <w:r>
        <w:rPr>
          <w:rFonts w:ascii="Arial Narrow" w:hAnsi="Arial Narrow"/>
          <w:sz w:val="22"/>
          <w:szCs w:val="22"/>
        </w:rPr>
        <w:t>pick up rok produkcji 2025,</w:t>
      </w:r>
    </w:p>
    <w:p>
      <w:pPr>
        <w:pStyle w:val="Style11"/>
        <w:numPr>
          <w:ilvl w:val="1"/>
          <w:numId w:val="1"/>
        </w:numPr>
        <w:ind w:left="1134" w:hanging="737"/>
        <w:jc w:val="both"/>
        <w:rPr>
          <w:rFonts w:ascii="Arial Narrow" w:hAnsi="Arial Narrow"/>
          <w:sz w:val="22"/>
          <w:szCs w:val="22"/>
        </w:rPr>
      </w:pPr>
      <w:r>
        <w:rPr>
          <w:rFonts w:ascii="Arial Narrow" w:hAnsi="Arial Narrow"/>
          <w:sz w:val="22"/>
          <w:szCs w:val="22"/>
        </w:rPr>
        <w:t>furgon 7-osobowy rok produkcji 2025,</w:t>
      </w:r>
    </w:p>
    <w:p>
      <w:pPr>
        <w:pStyle w:val="Style11"/>
        <w:numPr>
          <w:ilvl w:val="1"/>
          <w:numId w:val="1"/>
        </w:numPr>
        <w:ind w:left="1134" w:hanging="737"/>
        <w:jc w:val="both"/>
        <w:rPr>
          <w:rFonts w:ascii="Arial Narrow" w:hAnsi="Arial Narrow"/>
          <w:sz w:val="22"/>
          <w:szCs w:val="22"/>
        </w:rPr>
      </w:pPr>
      <w:r>
        <w:rPr>
          <w:rFonts w:ascii="Arial Narrow" w:hAnsi="Arial Narrow"/>
          <w:sz w:val="22"/>
          <w:szCs w:val="22"/>
        </w:rPr>
        <w:t>osobowy segmentu D typu SUV rok produkcji 2025 .</w:t>
      </w:r>
    </w:p>
    <w:p>
      <w:pPr>
        <w:pStyle w:val="Style11"/>
        <w:numPr>
          <w:ilvl w:val="0"/>
          <w:numId w:val="0"/>
        </w:numPr>
        <w:ind w:left="0" w:hanging="0"/>
        <w:jc w:val="both"/>
        <w:rPr>
          <w:rFonts w:ascii="Arial Narrow" w:hAnsi="Arial Narrow"/>
          <w:sz w:val="22"/>
          <w:szCs w:val="22"/>
        </w:rPr>
      </w:pPr>
      <w:r>
        <w:rPr>
          <w:rFonts w:ascii="Arial Narrow" w:hAnsi="Arial Narrow"/>
          <w:sz w:val="22"/>
          <w:szCs w:val="22"/>
        </w:rPr>
      </w:r>
    </w:p>
    <w:p>
      <w:pPr>
        <w:pStyle w:val="Style11"/>
        <w:numPr>
          <w:ilvl w:val="0"/>
          <w:numId w:val="1"/>
        </w:numPr>
        <w:jc w:val="both"/>
        <w:rPr>
          <w:rFonts w:ascii="Arial Narrow" w:hAnsi="Arial Narrow" w:cs="Arial"/>
          <w:sz w:val="22"/>
          <w:szCs w:val="22"/>
        </w:rPr>
      </w:pPr>
      <w:r>
        <w:rPr>
          <w:rFonts w:eastAsia="Calibri" w:cs="Arial" w:ascii="Arial Narrow" w:hAnsi="Arial Narrow"/>
          <w:sz w:val="22"/>
          <w:szCs w:val="22"/>
          <w:lang w:eastAsia="en-US"/>
        </w:rPr>
        <w:t xml:space="preserve">Wszystkie podzespoły elektryczne i elektroniczne sygnalizacji muszą posiadać świadectwo homologacji na zgodność z Regulaminem 10 EKG/ONZ. </w:t>
      </w:r>
      <w:r>
        <w:rPr>
          <w:rFonts w:eastAsia="Calibri" w:cs="Arial" w:ascii="Arial Narrow" w:hAnsi="Arial Narrow"/>
          <w:b/>
          <w:sz w:val="22"/>
          <w:szCs w:val="22"/>
        </w:rPr>
        <w:t xml:space="preserve">Spełnienie wymogu musi być potwierdzone oświadczeniem Wykonawcy przekazanym Zamawiającemu w fazie odbioru </w:t>
      </w:r>
      <w:r>
        <w:rPr>
          <w:rFonts w:eastAsia="Calibri" w:cs="Arial" w:ascii="Arial Narrow" w:hAnsi="Arial Narrow"/>
          <w:b/>
          <w:bCs/>
          <w:iCs/>
          <w:sz w:val="22"/>
          <w:szCs w:val="22"/>
          <w:lang w:eastAsia="en-US"/>
        </w:rPr>
        <w:t>kolejnych pojazdów po montażu sygnalizacji</w:t>
      </w:r>
      <w:r>
        <w:rPr>
          <w:rFonts w:eastAsia="Calibri" w:cs="Arial" w:ascii="Arial Narrow" w:hAnsi="Arial Narrow"/>
          <w:b/>
          <w:sz w:val="22"/>
          <w:szCs w:val="22"/>
        </w:rPr>
        <w:t>.</w:t>
      </w:r>
    </w:p>
    <w:p>
      <w:pPr>
        <w:pStyle w:val="Style11"/>
        <w:numPr>
          <w:ilvl w:val="0"/>
          <w:numId w:val="0"/>
        </w:numPr>
        <w:ind w:left="360" w:hanging="0"/>
        <w:jc w:val="both"/>
        <w:rPr>
          <w:rFonts w:ascii="Arial Narrow" w:hAnsi="Arial Narrow" w:cs="Arial"/>
          <w:sz w:val="22"/>
          <w:szCs w:val="22"/>
        </w:rPr>
      </w:pPr>
      <w:r>
        <w:rPr>
          <w:rFonts w:cs="Arial" w:ascii="Arial Narrow" w:hAnsi="Arial Narrow"/>
          <w:sz w:val="22"/>
          <w:szCs w:val="22"/>
        </w:rPr>
      </w:r>
    </w:p>
    <w:p>
      <w:pPr>
        <w:pStyle w:val="Style11"/>
        <w:numPr>
          <w:ilvl w:val="0"/>
          <w:numId w:val="1"/>
        </w:numPr>
        <w:jc w:val="both"/>
        <w:rPr>
          <w:rFonts w:ascii="Arial Narrow" w:hAnsi="Arial Narrow" w:cs="Arial"/>
          <w:sz w:val="22"/>
          <w:szCs w:val="22"/>
        </w:rPr>
      </w:pPr>
      <w:r>
        <w:rPr>
          <w:rFonts w:eastAsia="Calibri" w:cs="Arial" w:ascii="Arial Narrow" w:hAnsi="Arial Narrow"/>
          <w:sz w:val="22"/>
          <w:szCs w:val="22"/>
          <w:lang w:eastAsia="en-US"/>
        </w:rPr>
        <w:t xml:space="preserve">Pojazd, po montażu sygnalizacji, musi posiadać zaświadczenie z upoważnionej stacji kontroli pojazdów </w:t>
      </w:r>
      <w:r>
        <w:rPr>
          <w:rFonts w:eastAsia="Calibri" w:cs="Arial" w:ascii="Arial Narrow" w:hAnsi="Arial Narrow"/>
          <w:sz w:val="22"/>
          <w:szCs w:val="22"/>
        </w:rPr>
        <w:t>o przeprowadzeniu badań technicznych przed</w:t>
      </w:r>
      <w:r>
        <w:rPr>
          <w:rFonts w:eastAsia="Calibri" w:cs="Arial" w:ascii="Arial Narrow" w:hAnsi="Arial Narrow"/>
          <w:sz w:val="22"/>
          <w:szCs w:val="22"/>
          <w:lang w:eastAsia="en-US"/>
        </w:rPr>
        <w:t xml:space="preserve"> dopuszczeniem do ruchu pojazdu uprzywilejowanego zgodnie z ustawą Prawo o ruchu drogowym.</w:t>
      </w:r>
    </w:p>
    <w:p>
      <w:pPr>
        <w:pStyle w:val="Style11"/>
        <w:numPr>
          <w:ilvl w:val="0"/>
          <w:numId w:val="0"/>
        </w:numPr>
        <w:ind w:left="360" w:hanging="0"/>
        <w:jc w:val="both"/>
        <w:rPr>
          <w:rFonts w:ascii="Arial Narrow" w:hAnsi="Arial Narrow" w:eastAsia="Calibri" w:cs="Arial"/>
          <w:b/>
          <w:b/>
          <w:bCs/>
          <w:iCs/>
          <w:sz w:val="22"/>
          <w:szCs w:val="22"/>
          <w:lang w:eastAsia="en-US"/>
        </w:rPr>
      </w:pPr>
      <w:r>
        <w:rPr>
          <w:rFonts w:eastAsia="Calibri" w:cs="Arial" w:ascii="Arial Narrow" w:hAnsi="Arial Narrow"/>
          <w:b/>
          <w:bCs/>
          <w:iCs/>
          <w:sz w:val="22"/>
          <w:szCs w:val="22"/>
          <w:lang w:eastAsia="en-US"/>
        </w:rPr>
        <w:t>Dokumenty potwierdzające spełnienie wymogu muszą być przekazywane Zamawiającemu przez Wykonawcę w fazie odbioru kolejnych pojazdów po montażu sygnalizacji.</w:t>
      </w:r>
    </w:p>
    <w:p>
      <w:pPr>
        <w:pStyle w:val="Style11"/>
        <w:numPr>
          <w:ilvl w:val="0"/>
          <w:numId w:val="0"/>
        </w:numPr>
        <w:ind w:left="360" w:hanging="0"/>
        <w:jc w:val="both"/>
        <w:rPr>
          <w:rFonts w:ascii="Arial Narrow" w:hAnsi="Arial Narrow" w:cs="Arial"/>
          <w:sz w:val="22"/>
          <w:szCs w:val="22"/>
        </w:rPr>
      </w:pPr>
      <w:r>
        <w:rPr>
          <w:rFonts w:cs="Arial" w:ascii="Arial Narrow" w:hAnsi="Arial Narrow"/>
          <w:sz w:val="22"/>
          <w:szCs w:val="22"/>
        </w:rPr>
      </w:r>
    </w:p>
    <w:p>
      <w:pPr>
        <w:pStyle w:val="Style11"/>
        <w:numPr>
          <w:ilvl w:val="0"/>
          <w:numId w:val="1"/>
        </w:numPr>
        <w:jc w:val="both"/>
        <w:rPr>
          <w:rFonts w:ascii="Arial Narrow" w:hAnsi="Arial Narrow" w:cs="Arial"/>
          <w:sz w:val="22"/>
          <w:szCs w:val="22"/>
        </w:rPr>
      </w:pPr>
      <w:r>
        <w:rPr>
          <w:rFonts w:eastAsia="Calibri" w:cs="Arial" w:ascii="Arial Narrow" w:hAnsi="Arial Narrow"/>
          <w:sz w:val="22"/>
          <w:szCs w:val="22"/>
          <w:lang w:eastAsia="en-US"/>
        </w:rPr>
        <w:t>Urządzenia świetlne sygnalizacji uprzywilejowania muszą posiadać świadectwo homologacji na zgodność z Regulaminem 65 EKG ONZ</w:t>
      </w:r>
      <w:r>
        <w:rPr>
          <w:rFonts w:cs="Arial" w:ascii="Arial Narrow" w:hAnsi="Arial Narrow"/>
          <w:sz w:val="22"/>
          <w:szCs w:val="22"/>
        </w:rPr>
        <w:t xml:space="preserve"> dla klasy 2</w:t>
      </w:r>
      <w:r>
        <w:rPr>
          <w:rFonts w:eastAsia="Calibri" w:cs="Arial" w:ascii="Arial Narrow" w:hAnsi="Arial Narrow"/>
          <w:sz w:val="22"/>
          <w:szCs w:val="22"/>
          <w:lang w:eastAsia="en-US"/>
        </w:rPr>
        <w:t>.</w:t>
      </w:r>
    </w:p>
    <w:p>
      <w:pPr>
        <w:pStyle w:val="Style11"/>
        <w:numPr>
          <w:ilvl w:val="0"/>
          <w:numId w:val="0"/>
        </w:numPr>
        <w:ind w:left="360" w:hanging="0"/>
        <w:jc w:val="both"/>
        <w:rPr>
          <w:rFonts w:ascii="Arial Narrow" w:hAnsi="Arial Narrow" w:cs="Arial"/>
          <w:sz w:val="22"/>
          <w:szCs w:val="22"/>
        </w:rPr>
      </w:pPr>
      <w:r>
        <w:rPr>
          <w:rFonts w:eastAsia="Calibri" w:cs="Arial" w:ascii="Arial Narrow" w:hAnsi="Arial Narrow"/>
          <w:b/>
          <w:sz w:val="22"/>
          <w:szCs w:val="22"/>
        </w:rPr>
        <w:t xml:space="preserve">Spełnienie wymogu musi być potwierdzone oświadczeniem Wykonawcy przekazanym Zamawiającemu w fazie odbioru </w:t>
      </w:r>
      <w:r>
        <w:rPr>
          <w:rFonts w:eastAsia="Calibri" w:cs="Arial" w:ascii="Arial Narrow" w:hAnsi="Arial Narrow"/>
          <w:b/>
          <w:bCs/>
          <w:iCs/>
          <w:sz w:val="22"/>
          <w:szCs w:val="22"/>
          <w:lang w:eastAsia="en-US"/>
        </w:rPr>
        <w:t>kolejnych pojazdów po montażu sygnalizacji</w:t>
      </w:r>
      <w:r>
        <w:rPr>
          <w:rFonts w:eastAsia="Calibri" w:cs="Arial" w:ascii="Arial Narrow" w:hAnsi="Arial Narrow"/>
          <w:b/>
          <w:sz w:val="22"/>
          <w:szCs w:val="22"/>
          <w:lang w:eastAsia="en-US"/>
        </w:rPr>
        <w:t xml:space="preserve">. </w:t>
      </w:r>
    </w:p>
    <w:p>
      <w:pPr>
        <w:pStyle w:val="Style11"/>
        <w:numPr>
          <w:ilvl w:val="0"/>
          <w:numId w:val="0"/>
        </w:numPr>
        <w:ind w:left="360" w:hanging="0"/>
        <w:jc w:val="both"/>
        <w:rPr>
          <w:rFonts w:ascii="Arial Narrow" w:hAnsi="Arial Narrow" w:cs="Arial"/>
          <w:sz w:val="22"/>
          <w:szCs w:val="22"/>
        </w:rPr>
      </w:pPr>
      <w:r>
        <w:rPr>
          <w:rFonts w:cs="Arial" w:ascii="Arial Narrow" w:hAnsi="Arial Narrow"/>
          <w:sz w:val="22"/>
          <w:szCs w:val="22"/>
        </w:rPr>
      </w:r>
    </w:p>
    <w:p>
      <w:pPr>
        <w:pStyle w:val="Style11"/>
        <w:numPr>
          <w:ilvl w:val="0"/>
          <w:numId w:val="1"/>
        </w:numPr>
        <w:jc w:val="both"/>
        <w:rPr>
          <w:rFonts w:ascii="Arial Narrow" w:hAnsi="Arial Narrow" w:cs="Arial"/>
          <w:sz w:val="22"/>
          <w:szCs w:val="22"/>
        </w:rPr>
      </w:pPr>
      <w:r>
        <w:rPr>
          <w:rFonts w:eastAsia="Calibri" w:cs="Arial" w:ascii="Arial Narrow" w:hAnsi="Arial Narrow"/>
          <w:b/>
          <w:i/>
          <w:sz w:val="22"/>
          <w:szCs w:val="22"/>
          <w:lang w:eastAsia="en-US"/>
        </w:rPr>
        <w:t xml:space="preserve"> </w:t>
      </w:r>
      <w:r>
        <w:rPr>
          <w:rFonts w:cs="Arial" w:ascii="Arial Narrow" w:hAnsi="Arial Narrow"/>
          <w:b/>
          <w:sz w:val="22"/>
          <w:szCs w:val="22"/>
        </w:rPr>
        <w:t xml:space="preserve">W fazie realizacji umowy Wykonawca zobowiązany jest do konsultowania i uzyskania akceptacji przez Zamawiającego proponowanych do zastosowania w pojeździe rozwiązań konstrukcyjnych i funkcjonalnych dotyczących montażu sygnalizacji. </w:t>
      </w:r>
    </w:p>
    <w:p>
      <w:pPr>
        <w:pStyle w:val="Style11"/>
        <w:numPr>
          <w:ilvl w:val="0"/>
          <w:numId w:val="0"/>
        </w:numPr>
        <w:ind w:left="360" w:hanging="0"/>
        <w:jc w:val="both"/>
        <w:rPr>
          <w:rFonts w:ascii="Arial Narrow" w:hAnsi="Arial Narrow" w:cs="Arial"/>
          <w:sz w:val="22"/>
          <w:szCs w:val="22"/>
        </w:rPr>
      </w:pPr>
      <w:r>
        <w:rPr>
          <w:rFonts w:cs="Arial" w:ascii="Arial Narrow" w:hAnsi="Arial Narrow"/>
          <w:sz w:val="22"/>
          <w:szCs w:val="22"/>
        </w:rPr>
      </w:r>
    </w:p>
    <w:p>
      <w:pPr>
        <w:pStyle w:val="Style11"/>
        <w:numPr>
          <w:ilvl w:val="0"/>
          <w:numId w:val="1"/>
        </w:numPr>
        <w:jc w:val="both"/>
        <w:rPr>
          <w:rFonts w:ascii="Arial Narrow" w:hAnsi="Arial Narrow" w:cs="Arial"/>
          <w:sz w:val="22"/>
          <w:szCs w:val="22"/>
        </w:rPr>
      </w:pPr>
      <w:r>
        <w:rPr>
          <w:rFonts w:ascii="Arial Narrow" w:hAnsi="Arial Narrow"/>
          <w:b/>
          <w:bCs/>
          <w:sz w:val="22"/>
          <w:szCs w:val="22"/>
        </w:rPr>
        <w:t>Wymagania techniczne dla zabudowy pojazdu</w:t>
      </w:r>
    </w:p>
    <w:p>
      <w:pPr>
        <w:pStyle w:val="Normal"/>
        <w:ind w:left="0" w:hanging="0"/>
        <w:rPr>
          <w:rFonts w:ascii="Arial Narrow" w:hAnsi="Arial Narrow" w:cs="Arial"/>
          <w:sz w:val="22"/>
          <w:szCs w:val="22"/>
        </w:rPr>
      </w:pPr>
      <w:r>
        <w:rPr>
          <w:rFonts w:cs="Arial" w:ascii="Arial Narrow" w:hAnsi="Arial Narrow"/>
          <w:sz w:val="22"/>
          <w:szCs w:val="22"/>
        </w:rPr>
      </w:r>
    </w:p>
    <w:p>
      <w:pPr>
        <w:pStyle w:val="Style11"/>
        <w:numPr>
          <w:ilvl w:val="1"/>
          <w:numId w:val="1"/>
        </w:numPr>
        <w:ind w:left="709" w:hanging="436"/>
        <w:jc w:val="both"/>
        <w:rPr>
          <w:rFonts w:ascii="Arial Narrow" w:hAnsi="Arial Narrow" w:cs="Arial"/>
          <w:sz w:val="22"/>
          <w:szCs w:val="22"/>
        </w:rPr>
      </w:pPr>
      <w:r>
        <w:rPr>
          <w:rFonts w:ascii="Arial Narrow" w:hAnsi="Arial Narrow"/>
          <w:b/>
          <w:bCs/>
          <w:sz w:val="22"/>
          <w:szCs w:val="22"/>
        </w:rPr>
        <w:t>Wymagania techniczne dla instalacji elektrycznej</w:t>
      </w:r>
    </w:p>
    <w:p>
      <w:pPr>
        <w:pStyle w:val="Style11"/>
        <w:numPr>
          <w:ilvl w:val="2"/>
          <w:numId w:val="1"/>
        </w:numPr>
        <w:ind w:left="1276" w:hanging="567"/>
        <w:jc w:val="both"/>
        <w:rPr>
          <w:rFonts w:ascii="Arial Narrow" w:hAnsi="Arial Narrow" w:cs="Arial"/>
          <w:sz w:val="22"/>
          <w:szCs w:val="22"/>
        </w:rPr>
      </w:pPr>
      <w:r>
        <w:rPr>
          <w:rFonts w:ascii="Arial Narrow" w:hAnsi="Arial Narrow"/>
          <w:sz w:val="22"/>
          <w:szCs w:val="22"/>
        </w:rPr>
        <w:t>Wyposażenie elektryczne i elektroniczne pojazdu wymienione w poszczególnych punktach niniejszej specyfikacji technicznej musi poprawnie współpracować z wyposażeniem pojazdu bazowego oraz zapewniać wymaganą jakość i odpowiedni poziom bezpieczeństwa.</w:t>
      </w:r>
    </w:p>
    <w:p>
      <w:pPr>
        <w:pStyle w:val="Style11"/>
        <w:numPr>
          <w:ilvl w:val="2"/>
          <w:numId w:val="1"/>
        </w:numPr>
        <w:ind w:left="1276" w:hanging="567"/>
        <w:jc w:val="both"/>
        <w:rPr>
          <w:rFonts w:ascii="Arial Narrow" w:hAnsi="Arial Narrow" w:cs="Arial"/>
          <w:sz w:val="22"/>
          <w:szCs w:val="22"/>
        </w:rPr>
      </w:pPr>
      <w:r>
        <w:rPr>
          <w:rFonts w:ascii="Arial Narrow" w:hAnsi="Arial Narrow"/>
          <w:sz w:val="22"/>
          <w:szCs w:val="22"/>
        </w:rPr>
        <w:t xml:space="preserve">Pojazd musi być wyposażony w jedną listwę bezpiecznikową stanowiącą wspólny punkt zasilania elektrycznego dla gniazd opisanych w 6.2.4,  urządzeń sygnalizacji uprzywilejowania w ruchu drogowym. Listwa bezpiecznikowa musi być zamontowana we wnętrzu pojazdu (kabiny) w pobliżu głównych modułów zasilających/sterujących sygnalizacją uprzywilejowania. </w:t>
      </w:r>
      <w:r>
        <w:rPr>
          <w:rFonts w:cs="Arial Narrow" w:ascii="Arial Narrow" w:hAnsi="Arial Narrow"/>
          <w:sz w:val="22"/>
          <w:szCs w:val="22"/>
        </w:rPr>
        <w:t>Usytuowanie listwy bezpiecznikowej nie może ograniczać przestrzeni użytkowej pojazdu oraz musi zapewniać łatwy dostęp bez wykorzystywania narzędzi do listwy bezpiecznikowej w celu wymiany bezpieczników.</w:t>
      </w:r>
      <w:r>
        <w:rPr>
          <w:rFonts w:ascii="Arial Narrow" w:hAnsi="Arial Narrow"/>
          <w:sz w:val="22"/>
          <w:szCs w:val="22"/>
        </w:rPr>
        <w:t xml:space="preserve"> Listwa bezpiecznikowa musi być stale zasilana bez względu na położenie włącznika zapłonu, bezpośrednio z akumulatora za pomocą pojedynczego giętkiego przewodu miedzianego o przekroju min. 10 mm</w:t>
      </w:r>
      <w:r>
        <w:rPr>
          <w:rFonts w:ascii="Arial Narrow" w:hAnsi="Arial Narrow"/>
          <w:sz w:val="22"/>
          <w:szCs w:val="22"/>
          <w:vertAlign w:val="superscript"/>
        </w:rPr>
        <w:t>2</w:t>
      </w:r>
      <w:r>
        <w:rPr>
          <w:rFonts w:ascii="Arial Narrow" w:hAnsi="Arial Narrow"/>
          <w:sz w:val="22"/>
          <w:szCs w:val="22"/>
        </w:rPr>
        <w:t xml:space="preserve">. Na przewodzie zasilającym listwę bezpiecznikową musi być umieszczone gniazdo </w:t>
      </w:r>
      <w:r>
        <w:rPr>
          <w:rFonts w:cs="Arial Narrow" w:ascii="Arial Narrow" w:hAnsi="Arial Narrow"/>
          <w:sz w:val="22"/>
          <w:szCs w:val="22"/>
        </w:rPr>
        <w:t>z bezpiecznikiem</w:t>
      </w:r>
      <w:r>
        <w:rPr>
          <w:rFonts w:ascii="Arial Narrow" w:hAnsi="Arial Narrow"/>
          <w:sz w:val="22"/>
          <w:szCs w:val="22"/>
        </w:rPr>
        <w:t xml:space="preserve"> topikowym min. 60 A. Na przewodzie zasilającym listwę bezpiecznikową, pomiędzy gniazdem bezpiecznika a listwą bezpiecznikową, musi być zainstalowany wyłącznik przekaźnikowy min. 80 A, sterowany aluminiowym (z podświetleniem LED) wyłącznikiem sterującym zamontowanym wewnątrz kabiny pojazdu w miejscu widocznym i łatwo dostępnym dla kierowcy. Obwody zasilające ww. gniazda, urządzenia sygnalizacji uprzywilejowania muszą posiadać odrębne zasilenia w listwie bezpiecznikowej, zabezpieczone bezpiecznikami topikowymi. Listwa bezpiecznikowa musi posiadać zasilone co najmniej 3 dodatkowe wolne gniazda bezpiecznikowe</w:t>
      </w:r>
      <w:r>
        <w:rPr>
          <w:rFonts w:eastAsia="Calibri" w:ascii="Arial Narrow" w:hAnsi="Arial Narrow"/>
          <w:sz w:val="22"/>
          <w:szCs w:val="22"/>
          <w:lang w:eastAsia="en-US"/>
        </w:rPr>
        <w:t xml:space="preserve"> z konektorami wyjściowymi dla przewodów o przekroju min. 2,5 mm</w:t>
      </w:r>
      <w:r>
        <w:rPr>
          <w:rFonts w:eastAsia="Calibri" w:ascii="Arial Narrow" w:hAnsi="Arial Narrow"/>
          <w:sz w:val="22"/>
          <w:szCs w:val="22"/>
          <w:vertAlign w:val="superscript"/>
          <w:lang w:eastAsia="en-US"/>
        </w:rPr>
        <w:t>2</w:t>
      </w:r>
      <w:r>
        <w:rPr>
          <w:rFonts w:eastAsia="Calibri" w:ascii="Arial Narrow" w:hAnsi="Arial Narrow"/>
          <w:sz w:val="22"/>
          <w:szCs w:val="22"/>
          <w:lang w:eastAsia="en-US"/>
        </w:rPr>
        <w:t>.</w:t>
      </w:r>
      <w:r>
        <w:rPr>
          <w:rFonts w:ascii="Arial Narrow" w:hAnsi="Arial Narrow"/>
          <w:sz w:val="22"/>
          <w:szCs w:val="22"/>
        </w:rPr>
        <w:t xml:space="preserve"> Na listwie bezpiecznikowej lub w jej pobliżu musi znajdować się trwale zamontowany opis zastosowanych bezpieczników (przeznaczenie, rodzaj i prąd bezpiecznika). Wszystkie komponenty wykorzystane do wykonania ww. instalacji zasilającej muszą być przeznaczone do zastosowań motoryzacyjnych, do pracy ciągłej oraz pochodzić z oferty katalogowej dostępnej na rynku krajowym. Wykonawca dostarczy po 2 bezpieczniki zapasowe (wraz z opisem przeznaczenia) dla każdego bezpiecznika zastosowanego w listwie bezpiecznikowej. Bezpieczniki zapasowe muszą być identyczne (typ, marka, wartość prądowa) z bezpiecznikami zastosowanymi w listwie bezpiecznikowej.</w:t>
      </w:r>
    </w:p>
    <w:p>
      <w:pPr>
        <w:pStyle w:val="Style11"/>
        <w:numPr>
          <w:ilvl w:val="0"/>
          <w:numId w:val="0"/>
        </w:numPr>
        <w:ind w:left="1276" w:hanging="0"/>
        <w:jc w:val="both"/>
        <w:rPr>
          <w:rFonts w:ascii="Arial Narrow" w:hAnsi="Arial Narrow" w:cs="Arial"/>
          <w:sz w:val="22"/>
          <w:szCs w:val="22"/>
        </w:rPr>
      </w:pPr>
      <w:r>
        <w:rPr>
          <w:rFonts w:cs="Arial" w:ascii="Arial Narrow" w:hAnsi="Arial Narrow"/>
          <w:sz w:val="22"/>
          <w:szCs w:val="22"/>
        </w:rPr>
      </w:r>
    </w:p>
    <w:p>
      <w:pPr>
        <w:pStyle w:val="Style11"/>
        <w:numPr>
          <w:ilvl w:val="1"/>
          <w:numId w:val="1"/>
        </w:numPr>
        <w:ind w:left="709" w:hanging="425"/>
        <w:jc w:val="both"/>
        <w:rPr>
          <w:rFonts w:ascii="Arial Narrow" w:hAnsi="Arial Narrow" w:cs="Arial"/>
          <w:sz w:val="22"/>
          <w:szCs w:val="22"/>
        </w:rPr>
      </w:pPr>
      <w:r>
        <w:rPr>
          <w:rFonts w:ascii="Arial Narrow" w:hAnsi="Arial Narrow"/>
          <w:b/>
          <w:bCs/>
          <w:sz w:val="22"/>
          <w:szCs w:val="22"/>
        </w:rPr>
        <w:t>Wymagania techniczne dla sygnalizacji.</w:t>
      </w:r>
    </w:p>
    <w:p>
      <w:pPr>
        <w:pStyle w:val="Style11"/>
        <w:numPr>
          <w:ilvl w:val="2"/>
          <w:numId w:val="1"/>
        </w:numPr>
        <w:tabs>
          <w:tab w:val="left" w:pos="993" w:leader="none"/>
        </w:tabs>
        <w:ind w:left="1276" w:hanging="567"/>
        <w:jc w:val="both"/>
        <w:rPr>
          <w:rFonts w:ascii="Arial Narrow" w:hAnsi="Arial Narrow" w:cs="Arial"/>
          <w:sz w:val="22"/>
          <w:szCs w:val="22"/>
        </w:rPr>
      </w:pPr>
      <w:r>
        <w:rPr>
          <w:rFonts w:eastAsia="Calibri" w:cs="Arial" w:ascii="Arial Narrow" w:hAnsi="Arial Narrow"/>
          <w:sz w:val="22"/>
          <w:szCs w:val="22"/>
        </w:rPr>
        <w:t>Pojazd musi być wyposażony w system uprzywilejowania w ruchu drogowym, w którego skład wchodzić muszą urządzenia określone w pkt od 6.2.3 do 6.2.7</w:t>
      </w:r>
    </w:p>
    <w:p>
      <w:pPr>
        <w:pStyle w:val="Style11"/>
        <w:numPr>
          <w:ilvl w:val="2"/>
          <w:numId w:val="1"/>
        </w:numPr>
        <w:tabs>
          <w:tab w:val="left" w:pos="993" w:leader="none"/>
        </w:tabs>
        <w:ind w:left="1276" w:hanging="567"/>
        <w:jc w:val="both"/>
        <w:rPr>
          <w:rFonts w:ascii="Arial Narrow" w:hAnsi="Arial Narrow" w:cs="Arial"/>
          <w:sz w:val="22"/>
          <w:szCs w:val="22"/>
        </w:rPr>
      </w:pPr>
      <w:r>
        <w:rPr>
          <w:rFonts w:eastAsia="Calibri" w:cs="Arial" w:ascii="Arial Narrow" w:hAnsi="Arial Narrow"/>
          <w:sz w:val="22"/>
          <w:szCs w:val="22"/>
          <w:lang w:eastAsia="en-US"/>
        </w:rPr>
        <w:t xml:space="preserve">Urządzenia świetlne sygnalizacji uprzywilejowania emitujące światło </w:t>
      </w:r>
      <w:r>
        <w:rPr>
          <w:rFonts w:eastAsia="Calibri" w:cs="Arial" w:ascii="Arial Narrow" w:hAnsi="Arial Narrow"/>
          <w:sz w:val="22"/>
          <w:szCs w:val="22"/>
        </w:rPr>
        <w:t>koloru</w:t>
      </w:r>
      <w:r>
        <w:rPr>
          <w:rFonts w:eastAsia="Calibri" w:cs="Arial" w:ascii="Arial Narrow" w:hAnsi="Arial Narrow"/>
          <w:sz w:val="22"/>
          <w:szCs w:val="22"/>
          <w:lang w:eastAsia="en-US"/>
        </w:rPr>
        <w:t xml:space="preserve"> niebieskiego muszą posiadać świadectwo homologacji na zgodność z Regulaminem 65 EKG ONZ</w:t>
      </w:r>
      <w:r>
        <w:rPr>
          <w:rFonts w:cs="Arial" w:ascii="Arial Narrow" w:hAnsi="Arial Narrow"/>
          <w:sz w:val="22"/>
          <w:szCs w:val="22"/>
        </w:rPr>
        <w:t xml:space="preserve"> dla klasy 2</w:t>
      </w:r>
      <w:r>
        <w:rPr>
          <w:rFonts w:eastAsia="Calibri" w:cs="Arial" w:ascii="Arial Narrow" w:hAnsi="Arial Narrow"/>
          <w:i/>
          <w:sz w:val="22"/>
          <w:szCs w:val="22"/>
          <w:lang w:eastAsia="en-US"/>
        </w:rPr>
        <w:t>.</w:t>
      </w:r>
      <w:r>
        <w:rPr>
          <w:rFonts w:eastAsia="Calibri" w:cs="Arial" w:ascii="Arial Narrow" w:hAnsi="Arial Narrow"/>
          <w:sz w:val="22"/>
          <w:szCs w:val="22"/>
          <w:lang w:eastAsia="en-US"/>
        </w:rPr>
        <w:t xml:space="preserve"> Urządzenia świetlne muszą być wyposażone</w:t>
      </w:r>
      <w:r>
        <w:rPr>
          <w:rFonts w:cs="Arial" w:ascii="Arial Narrow" w:hAnsi="Arial Narrow"/>
          <w:sz w:val="22"/>
          <w:szCs w:val="22"/>
        </w:rPr>
        <w:t xml:space="preserve"> w automatyczną funkcję przełączania trybu dzień/noc.</w:t>
      </w:r>
    </w:p>
    <w:p>
      <w:pPr>
        <w:pStyle w:val="Style11"/>
        <w:numPr>
          <w:ilvl w:val="2"/>
          <w:numId w:val="1"/>
        </w:numPr>
        <w:tabs>
          <w:tab w:val="left" w:pos="993" w:leader="none"/>
        </w:tabs>
        <w:ind w:left="1276" w:hanging="567"/>
        <w:jc w:val="both"/>
        <w:rPr>
          <w:rFonts w:ascii="Arial Narrow" w:hAnsi="Arial Narrow" w:cs="Arial"/>
          <w:sz w:val="22"/>
          <w:szCs w:val="22"/>
        </w:rPr>
      </w:pPr>
      <w:r>
        <w:rPr>
          <w:rFonts w:cs="Arial" w:ascii="Arial Narrow" w:hAnsi="Arial Narrow"/>
          <w:sz w:val="22"/>
          <w:szCs w:val="22"/>
        </w:rPr>
        <w:t xml:space="preserve">Pojazd musi posiadać lampę LED o barwie światła niebieskiej z mocowaniem magnetycznym. Lampa musi posiadać przewód spiralny o długości w zakresie od 5 do 5,5 metra w stanie rozciągniętym służący do jej zasilania z gniazd, o których mowa w pkt 6.2.4. Podstawa lampy nie może powodować uszkodzeń powłoki lakierniczej dachu pojazdu. Sposób mocowania lampy musi zapewniać możliwość jazdy pojazdem z maksymalną prędkością określoną dla pojazdu bazowego. </w:t>
      </w:r>
      <w:r>
        <w:rPr>
          <w:rFonts w:cs="Arial" w:ascii="Arial Narrow" w:hAnsi="Arial Narrow"/>
          <w:b/>
          <w:sz w:val="22"/>
          <w:szCs w:val="22"/>
        </w:rPr>
        <w:t>Spełnienie wymogu</w:t>
      </w:r>
      <w:r>
        <w:rPr>
          <w:rFonts w:cs="Arial" w:ascii="Arial Narrow" w:hAnsi="Arial Narrow"/>
          <w:sz w:val="22"/>
          <w:szCs w:val="22"/>
        </w:rPr>
        <w:t xml:space="preserve"> </w:t>
      </w:r>
      <w:r>
        <w:rPr>
          <w:rFonts w:cs="Arial" w:ascii="Arial Narrow" w:hAnsi="Arial Narrow"/>
          <w:b/>
          <w:sz w:val="22"/>
          <w:szCs w:val="22"/>
        </w:rPr>
        <w:t xml:space="preserve">musi być potwierdzone </w:t>
      </w:r>
      <w:r>
        <w:rPr>
          <w:rFonts w:eastAsia="Calibri" w:cs="Arial" w:ascii="Arial Narrow" w:hAnsi="Arial Narrow"/>
          <w:b/>
          <w:sz w:val="22"/>
          <w:szCs w:val="22"/>
        </w:rPr>
        <w:t>oświadczeniem Wykonawcy wystawionym na podstawie opinii lub sprawozdania z badań, wydanego przez akredytowaną jednostkę badawczą.</w:t>
      </w:r>
      <w:r>
        <w:rPr>
          <w:rFonts w:cs="Arial" w:ascii="Arial Narrow" w:hAnsi="Arial Narrow"/>
          <w:b/>
          <w:sz w:val="22"/>
          <w:szCs w:val="22"/>
        </w:rPr>
        <w:t xml:space="preserve"> Wyniki badań muszą być uzyskane na podstawie badań drogowych i muszą uwzględniać drgania spowodowane nierównościami nawierzchni drogi, przeciążenia wynikające z poruszania się pojazdu po łuku, nagłego hamowania oraz podmuchu wiatru. Dokumenty potwierdzające spełnienie wymogu muszą być przekazane Zamawiającemu przez Wykonawcę </w:t>
      </w:r>
      <w:r>
        <w:rPr>
          <w:rFonts w:eastAsia="Calibri" w:cs="Arial" w:ascii="Arial Narrow" w:hAnsi="Arial Narrow"/>
          <w:b/>
          <w:bCs/>
          <w:iCs/>
          <w:sz w:val="22"/>
          <w:szCs w:val="22"/>
          <w:lang w:eastAsia="en-US"/>
        </w:rPr>
        <w:t>w fazie odbioru kolejnych pojazdów po montażu sygnalizacji.</w:t>
      </w:r>
    </w:p>
    <w:p>
      <w:pPr>
        <w:pStyle w:val="Style11"/>
        <w:numPr>
          <w:ilvl w:val="2"/>
          <w:numId w:val="1"/>
        </w:numPr>
        <w:tabs>
          <w:tab w:val="left" w:pos="993" w:leader="none"/>
        </w:tabs>
        <w:ind w:left="1276" w:hanging="567"/>
        <w:jc w:val="both"/>
        <w:rPr>
          <w:rFonts w:ascii="Arial Narrow" w:hAnsi="Arial Narrow" w:cs="Arial"/>
          <w:sz w:val="22"/>
          <w:szCs w:val="22"/>
        </w:rPr>
      </w:pPr>
      <w:r>
        <w:rPr>
          <w:rFonts w:cs="Arial" w:ascii="Arial Narrow" w:hAnsi="Arial Narrow"/>
          <w:color w:val="000000"/>
          <w:sz w:val="22"/>
          <w:szCs w:val="22"/>
        </w:rPr>
        <w:t>Pojazd musi posiadać dodatkowe dwa gniazda zapalniczki z zaślepkami, zamontowane we wnętrzu pojazdu po lewej i prawej stronie na słupkach B lub w innym zaakceptowanym przez Zamawiającego miejscu, w sposób zapewniający łatwe podłączanie wtyczki odpowiednio przez kierowcę i dysponenta, każde o prądzie obciążenia min. 10 A, służące do zasilania lampy sygnalizacji uprzywilejowania, o której mowa w pkt 6.2.3.</w:t>
      </w:r>
    </w:p>
    <w:p>
      <w:pPr>
        <w:pStyle w:val="Style11"/>
        <w:numPr>
          <w:ilvl w:val="2"/>
          <w:numId w:val="1"/>
        </w:numPr>
        <w:tabs>
          <w:tab w:val="left" w:pos="993" w:leader="none"/>
        </w:tabs>
        <w:ind w:left="1247" w:hanging="567"/>
        <w:jc w:val="both"/>
        <w:rPr>
          <w:rFonts w:ascii="Arial Narrow" w:hAnsi="Arial Narrow" w:cs="Arial"/>
          <w:sz w:val="22"/>
          <w:szCs w:val="22"/>
        </w:rPr>
      </w:pPr>
      <w:r>
        <w:rPr>
          <w:rFonts w:cs="Arial" w:ascii="Arial Narrow" w:hAnsi="Arial Narrow"/>
          <w:color w:val="000000"/>
          <w:sz w:val="22"/>
          <w:szCs w:val="24"/>
        </w:rPr>
        <w:t xml:space="preserve">W przedniej części pojazdu, w atrapie chłodnicy lub w zderzaku przednim muszą być zamontowane w sposób skryty (zakamuflowany) dwie lampy LED o kloszach bezbarwnych, o barwie światła niebieskiej. Lampy muszą być zamocowane w sposób umożliwiający mycie pojazdu w myjni automatycznej szczotkowej bez konieczności ich demontażu. Każda z lamp musi posiadać co najmniej cztery diody LED o wysokiej światłości. Lampy muszą świecić naprzemiennie. </w:t>
      </w:r>
      <w:r>
        <w:rPr>
          <w:rFonts w:cs="Arial" w:ascii="Arial Narrow" w:hAnsi="Arial Narrow"/>
          <w:b/>
          <w:bCs/>
          <w:color w:val="000000"/>
          <w:sz w:val="22"/>
          <w:szCs w:val="24"/>
        </w:rPr>
        <w:t>Dotyczy wyłącznie pojazdu opisanego w pkt. 1.5.</w:t>
      </w:r>
    </w:p>
    <w:p>
      <w:pPr>
        <w:pStyle w:val="Style11"/>
        <w:numPr>
          <w:ilvl w:val="2"/>
          <w:numId w:val="1"/>
        </w:numPr>
        <w:tabs>
          <w:tab w:val="left" w:pos="993" w:leader="none"/>
        </w:tabs>
        <w:ind w:left="1276" w:hanging="567"/>
        <w:jc w:val="both"/>
        <w:rPr>
          <w:rFonts w:ascii="Arial Narrow" w:hAnsi="Arial Narrow" w:cs="Arial"/>
          <w:sz w:val="22"/>
          <w:szCs w:val="22"/>
        </w:rPr>
      </w:pPr>
      <w:r>
        <w:rPr>
          <w:rFonts w:cs="Arial" w:ascii="Arial Narrow" w:hAnsi="Arial Narrow"/>
          <w:color w:val="000000"/>
          <w:sz w:val="22"/>
          <w:szCs w:val="24"/>
        </w:rPr>
        <w:t>W tylnej części pojazd musi posiada</w:t>
      </w:r>
      <w:r>
        <w:rPr>
          <w:rFonts w:cs="Arial" w:ascii="Arial Narrow" w:hAnsi="Arial Narrow"/>
          <w:color w:val="000000"/>
          <w:sz w:val="22"/>
          <w:szCs w:val="22"/>
        </w:rPr>
        <w:t xml:space="preserve">ć po wewnętrznej stronie górnej, lewej i prawej skrajnej części tylnej szyby,  zamontowane dwie lampy LED o barwie światła niebieskiej. Każda z lamp musi posiada łącznie, co najmniej cztery diody LED wysokiej światłości. Lampy muszą świecić naprzemiennie. </w:t>
      </w:r>
      <w:r>
        <w:rPr>
          <w:rFonts w:cs="Arial" w:ascii="Arial Narrow" w:hAnsi="Arial Narrow"/>
          <w:b/>
          <w:bCs/>
          <w:color w:val="000000"/>
          <w:sz w:val="22"/>
          <w:szCs w:val="24"/>
        </w:rPr>
        <w:t>Dotyczy wyłącznie pojazdu opisanego w pkt. 1.5.</w:t>
      </w:r>
    </w:p>
    <w:p>
      <w:pPr>
        <w:pStyle w:val="Style11"/>
        <w:numPr>
          <w:ilvl w:val="2"/>
          <w:numId w:val="1"/>
        </w:numPr>
        <w:tabs>
          <w:tab w:val="left" w:pos="993" w:leader="none"/>
        </w:tabs>
        <w:ind w:left="1276" w:hanging="567"/>
        <w:jc w:val="both"/>
        <w:rPr>
          <w:rFonts w:ascii="Arial Narrow" w:hAnsi="Arial Narrow" w:cs="Arial"/>
          <w:sz w:val="22"/>
          <w:szCs w:val="22"/>
        </w:rPr>
      </w:pPr>
      <w:r>
        <w:rPr>
          <w:rFonts w:cs="Arial" w:ascii="Arial Narrow" w:hAnsi="Arial Narrow"/>
          <w:sz w:val="22"/>
          <w:szCs w:val="22"/>
        </w:rPr>
        <w:t>Po zamontowaniu w pojeździe, urządzenie emitujące ostrzegawcze sygnały uprzywilejowania pojazdu w ruchu drogowym i rozgłaszające komunikaty musi:</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 xml:space="preserve">wytwarzać dźwięki, których ekwiwalentny poziom ciśnienia akustycznego wg krzywej korekcyjnej A, mierzony całkującym miernikiem poziomu dźwięku umieszczonym w odległości 7 m od przedniego zderzaka pojazdu musi zawierać się w granicach 105 dB(A) ÷ 115 dB(A), dla każdego rodzaju dźwięku. Warunki badań wg PN-92/S-76004 lub regulaminu 28 EKG ONZ. </w:t>
      </w:r>
      <w:r>
        <w:rPr>
          <w:rFonts w:eastAsia="Calibri" w:cs="Arial" w:ascii="Arial Narrow" w:hAnsi="Arial Narrow"/>
          <w:b/>
          <w:sz w:val="22"/>
          <w:szCs w:val="22"/>
        </w:rPr>
        <w:t xml:space="preserve">Spełnienie wymogu musi być potwierdzone oświadczeniem Wykonawcy przekazanym Zamawiającemu w fazie odbioru </w:t>
      </w:r>
      <w:r>
        <w:rPr>
          <w:rFonts w:eastAsia="Calibri" w:cs="Arial" w:ascii="Arial Narrow" w:hAnsi="Arial Narrow"/>
          <w:b/>
          <w:bCs/>
          <w:iCs/>
          <w:sz w:val="22"/>
          <w:szCs w:val="22"/>
          <w:lang w:eastAsia="en-US"/>
        </w:rPr>
        <w:t>kolejnych pojazdów po montażu sygnalizacji</w:t>
      </w:r>
      <w:r>
        <w:rPr>
          <w:rFonts w:eastAsia="Calibri" w:cs="Arial" w:ascii="Arial Narrow" w:hAnsi="Arial Narrow"/>
          <w:b/>
          <w:sz w:val="22"/>
          <w:szCs w:val="22"/>
        </w:rPr>
        <w:t>;</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 xml:space="preserve">wytwarzać dźwięki, których ekwiwalentny poziom ciśnienia akustycznego wg krzywej korekcyjnej A, mierzony całkującym miernikiem poziomu dźwięku w kabinie, na postoju nie może przekraczać 80 dB(A), dla każdego rodzaju dźwięku. Warunki badań wg PN-90/S-04052 ISO 5128. </w:t>
      </w:r>
      <w:r>
        <w:rPr>
          <w:rFonts w:eastAsia="Calibri" w:cs="Arial" w:ascii="Arial Narrow" w:hAnsi="Arial Narrow"/>
          <w:b/>
          <w:sz w:val="22"/>
          <w:szCs w:val="22"/>
        </w:rPr>
        <w:t xml:space="preserve">Spełnienie wymogu musi być potwierdzone oświadczeniem Wykonawcy przekazanym Zamawiającemu w fazie odbioru </w:t>
      </w:r>
      <w:r>
        <w:rPr>
          <w:rFonts w:eastAsia="Calibri" w:cs="Arial" w:ascii="Arial Narrow" w:hAnsi="Arial Narrow"/>
          <w:b/>
          <w:bCs/>
          <w:iCs/>
          <w:sz w:val="22"/>
          <w:szCs w:val="22"/>
          <w:lang w:eastAsia="en-US"/>
        </w:rPr>
        <w:t>kolejnych pojazdów po montażu sygnalizacji</w:t>
      </w:r>
      <w:r>
        <w:rPr>
          <w:rFonts w:eastAsia="Calibri" w:cs="Arial" w:ascii="Arial Narrow" w:hAnsi="Arial Narrow"/>
          <w:b/>
          <w:sz w:val="22"/>
          <w:szCs w:val="22"/>
        </w:rPr>
        <w:t>;</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spełniać wymagania dla obudów ochronnych w klasie min. IP 56 według normy PN-EN 60529:2003.</w:t>
      </w:r>
      <w:r>
        <w:rPr>
          <w:rFonts w:eastAsia="Calibri" w:cs="Arial" w:ascii="Arial Narrow" w:hAnsi="Arial Narrow"/>
          <w:b/>
          <w:sz w:val="22"/>
          <w:szCs w:val="22"/>
        </w:rPr>
        <w:t xml:space="preserve"> Spełnienie wymogu musi być potwierdzone oświadczeniem Wykonawcy przekazanym Zamawiającemu w fazie odbioru </w:t>
      </w:r>
      <w:r>
        <w:rPr>
          <w:rFonts w:eastAsia="Calibri" w:cs="Arial" w:ascii="Arial Narrow" w:hAnsi="Arial Narrow"/>
          <w:b/>
          <w:bCs/>
          <w:iCs/>
          <w:sz w:val="22"/>
          <w:szCs w:val="22"/>
          <w:lang w:eastAsia="en-US"/>
        </w:rPr>
        <w:t>kolejnych pojazdów po montażu sygnalizacji</w:t>
      </w:r>
      <w:r>
        <w:rPr>
          <w:rFonts w:eastAsia="Calibri" w:cs="Arial" w:ascii="Arial Narrow" w:hAnsi="Arial Narrow"/>
          <w:b/>
          <w:sz w:val="22"/>
          <w:szCs w:val="22"/>
        </w:rPr>
        <w:t>;</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być zamontowane w komorze silnika w sposób nieutrudniający dostępu do innych elementów pojazdu</w:t>
      </w:r>
      <w:r>
        <w:rPr>
          <w:rFonts w:eastAsia="Calibri" w:cs="Arial" w:ascii="Arial Narrow" w:hAnsi="Arial Narrow"/>
          <w:sz w:val="22"/>
          <w:szCs w:val="22"/>
        </w:rPr>
        <w:t>.</w:t>
      </w:r>
    </w:p>
    <w:p>
      <w:pPr>
        <w:pStyle w:val="Style11"/>
        <w:numPr>
          <w:ilvl w:val="2"/>
          <w:numId w:val="1"/>
        </w:numPr>
        <w:tabs>
          <w:tab w:val="left" w:pos="1276" w:leader="none"/>
        </w:tabs>
        <w:spacing w:lineRule="atLeast" w:line="100"/>
        <w:ind w:left="1276" w:hanging="567"/>
        <w:jc w:val="both"/>
        <w:rPr>
          <w:rFonts w:ascii="Arial Narrow" w:hAnsi="Arial Narrow"/>
          <w:sz w:val="22"/>
          <w:szCs w:val="22"/>
        </w:rPr>
      </w:pPr>
      <w:r>
        <w:rPr>
          <w:rFonts w:cs="Arial" w:ascii="Arial Narrow" w:hAnsi="Arial Narrow"/>
          <w:sz w:val="22"/>
          <w:szCs w:val="22"/>
        </w:rPr>
        <w:t>Urządzenie, o którym mowa w pkt 6.2.7, musi ponadto posiadać funkcje:</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wytwarzania co najmniej 3 rodzajów dźwięków,</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przełączania tonu sygnału uprzywilejowania: „Le-on”, „Wilk”, „Pies” (Hi-lo, Yelp, Wail), co najmniej z wykorzystaniem klaksonu pojazdu,</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 xml:space="preserve">sterowania lampami sygnalizacji </w:t>
      </w:r>
      <w:r>
        <w:rPr>
          <w:rFonts w:eastAsia="Calibri" w:cs="Arial" w:ascii="Arial Narrow" w:hAnsi="Arial Narrow"/>
          <w:sz w:val="22"/>
          <w:szCs w:val="22"/>
          <w:lang w:eastAsia="en-US"/>
        </w:rPr>
        <w:t>świetlnej uprzywilejowania</w:t>
      </w:r>
      <w:r>
        <w:rPr>
          <w:rFonts w:cs="Arial" w:ascii="Arial Narrow" w:hAnsi="Arial Narrow"/>
          <w:sz w:val="22"/>
          <w:szCs w:val="22"/>
        </w:rPr>
        <w:t>,</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rozgłaszania komunikatów i sterowania urządzeniem rozgłoszeniowym.</w:t>
      </w:r>
    </w:p>
    <w:p>
      <w:pPr>
        <w:pStyle w:val="Style11"/>
        <w:numPr>
          <w:ilvl w:val="2"/>
          <w:numId w:val="1"/>
        </w:numPr>
        <w:tabs>
          <w:tab w:val="left" w:pos="1276" w:leader="none"/>
        </w:tabs>
        <w:spacing w:lineRule="atLeast" w:line="100"/>
        <w:ind w:left="1276" w:hanging="567"/>
        <w:jc w:val="both"/>
        <w:rPr>
          <w:rFonts w:ascii="Arial Narrow" w:hAnsi="Arial Narrow"/>
          <w:sz w:val="22"/>
          <w:szCs w:val="22"/>
        </w:rPr>
      </w:pPr>
      <w:r>
        <w:rPr>
          <w:rFonts w:cs="Arial" w:ascii="Arial Narrow" w:hAnsi="Arial Narrow"/>
          <w:sz w:val="22"/>
          <w:szCs w:val="22"/>
        </w:rPr>
        <w:t>We wnętrzu pojazdu w sposób skryty (zakamuflowany) w miejscu gwarantującym łatwą obsługę przez dysponenta i kierowcę musi być zamontowany manipulator (z wbudowanym mikrofonem) umożliwiający sterowanie urządzeniami, o których mowa w pkt 6.2</w:t>
      </w:r>
      <w:r>
        <w:rPr>
          <w:rFonts w:eastAsia="Calibri" w:cs="Arial" w:ascii="Arial Narrow" w:hAnsi="Arial Narrow"/>
          <w:sz w:val="22"/>
          <w:szCs w:val="22"/>
        </w:rPr>
        <w:t>.7.</w:t>
      </w:r>
    </w:p>
    <w:p>
      <w:pPr>
        <w:pStyle w:val="Style11"/>
        <w:numPr>
          <w:ilvl w:val="2"/>
          <w:numId w:val="1"/>
        </w:numPr>
        <w:spacing w:lineRule="atLeast" w:line="100"/>
        <w:ind w:left="1276" w:hanging="567"/>
        <w:jc w:val="both"/>
        <w:rPr>
          <w:rFonts w:ascii="Arial Narrow" w:hAnsi="Arial Narrow"/>
          <w:sz w:val="22"/>
          <w:szCs w:val="22"/>
        </w:rPr>
      </w:pPr>
      <w:r>
        <w:rPr>
          <w:rFonts w:cs="Arial" w:ascii="Arial Narrow" w:hAnsi="Arial Narrow"/>
          <w:sz w:val="22"/>
          <w:szCs w:val="22"/>
        </w:rPr>
        <w:t>W celu zagwarantowania niezawodnej i długotrwałej pracy urządzeń sygnalizacji uprzywilejowania w ruchu drogowym, Zamawiający wymaga, aby Wykonawca montował w pojeździe urządzenia tego samego producenta (takiej samej marki) posiadającego autoryzowane punkty serwisowe i/lub autoryzowanych dystrybutorów na terenie Polski.</w:t>
      </w:r>
    </w:p>
    <w:p>
      <w:pPr>
        <w:pStyle w:val="Style11"/>
        <w:numPr>
          <w:ilvl w:val="2"/>
          <w:numId w:val="1"/>
        </w:numPr>
        <w:spacing w:lineRule="atLeast" w:line="100"/>
        <w:ind w:left="1276" w:hanging="567"/>
        <w:jc w:val="both"/>
        <w:rPr>
          <w:rFonts w:ascii="Arial Narrow" w:hAnsi="Arial Narrow"/>
          <w:sz w:val="22"/>
          <w:szCs w:val="22"/>
        </w:rPr>
      </w:pPr>
      <w:r>
        <w:rPr>
          <w:rFonts w:cs="Arial" w:ascii="Arial Narrow" w:hAnsi="Arial Narrow"/>
          <w:sz w:val="22"/>
          <w:szCs w:val="22"/>
        </w:rPr>
        <w:t>Działanie urządzeń sygnalizacji uprzywilejowania pojazdu w ruchu drogowym musi spełniać następujące warunki:</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włączenie sygnalizacji dźwiękowej musi pociągać za sobą jednocześnie włączenie sygnalizacji świetlnej o barwie światła niebieskiej (nie może być możliwości włączenia samej sygnalizacji dźwiękowej, tj. bez równoczesnej sygnalizacji świetlnej),</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musi istnieć możliwość włączenia samej sygnalizacji świetlnej o barwie światła niebieskiej (bez sygnalizacji dźwiękowej),</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włączenie lamp uprzywilejowania pojazdu w ruchu drogowym musi być sygnalizowane lampką kontrolną,</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włączenie urządzenia rozgłoszeniowego musi przerywać emisję dźwiękowych sygnałów ostrzegawczych, zaś jego wyłączenie powodować dalszą pracę sygnalizacji dźwiękowej, o ile była ona wcześniej włączona,</w:t>
      </w:r>
    </w:p>
    <w:p>
      <w:pPr>
        <w:pStyle w:val="Style11"/>
        <w:numPr>
          <w:ilvl w:val="3"/>
          <w:numId w:val="1"/>
        </w:numPr>
        <w:spacing w:lineRule="atLeast" w:line="100"/>
        <w:ind w:left="1985" w:hanging="709"/>
        <w:jc w:val="both"/>
        <w:rPr>
          <w:rFonts w:ascii="Arial Narrow" w:hAnsi="Arial Narrow"/>
          <w:sz w:val="22"/>
          <w:szCs w:val="22"/>
        </w:rPr>
      </w:pPr>
      <w:r>
        <w:rPr>
          <w:rFonts w:cs="Arial" w:ascii="Arial Narrow" w:hAnsi="Arial Narrow"/>
          <w:sz w:val="22"/>
          <w:szCs w:val="22"/>
        </w:rPr>
        <w:t>działanie sygnalizacji świetlnej musi być możliwe również przy wyjętym kluczyku ze stacyjki pojazdu.</w:t>
      </w:r>
    </w:p>
    <w:p>
      <w:pPr>
        <w:pStyle w:val="Style11"/>
        <w:numPr>
          <w:ilvl w:val="0"/>
          <w:numId w:val="0"/>
        </w:numPr>
        <w:spacing w:lineRule="atLeast" w:line="100"/>
        <w:ind w:left="2127" w:hanging="0"/>
        <w:jc w:val="both"/>
        <w:rPr>
          <w:rFonts w:ascii="Arial Narrow" w:hAnsi="Arial Narrow"/>
          <w:sz w:val="22"/>
          <w:szCs w:val="22"/>
        </w:rPr>
      </w:pPr>
      <w:r>
        <w:rPr>
          <w:rFonts w:ascii="Arial Narrow" w:hAnsi="Arial Narrow"/>
          <w:sz w:val="22"/>
          <w:szCs w:val="22"/>
        </w:rPr>
      </w:r>
    </w:p>
    <w:p>
      <w:pPr>
        <w:pStyle w:val="Style11"/>
        <w:numPr>
          <w:ilvl w:val="2"/>
          <w:numId w:val="1"/>
        </w:numPr>
        <w:tabs>
          <w:tab w:val="left" w:pos="1276" w:leader="none"/>
        </w:tabs>
        <w:spacing w:lineRule="atLeast" w:line="100"/>
        <w:ind w:left="709" w:hanging="0"/>
        <w:jc w:val="both"/>
        <w:rPr>
          <w:rFonts w:ascii="Arial Narrow" w:hAnsi="Arial Narrow"/>
          <w:sz w:val="22"/>
          <w:szCs w:val="22"/>
        </w:rPr>
      </w:pPr>
      <w:r>
        <w:rPr>
          <w:rFonts w:ascii="Arial Narrow" w:hAnsi="Arial Narrow"/>
          <w:b/>
          <w:sz w:val="22"/>
          <w:szCs w:val="22"/>
        </w:rPr>
        <w:t>Wymagania techniczne dotyczące montażu elementów specjalistycznej zabudowy</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elementy zabudowy, systemy ich mocowania, instalacje zasilania i sterujące itp. muszą być zamontowane w sposób, jak najmniej ingerujący w strukturę pojazdu bazowego. W przypadku konieczności wykonania dodatkowych otworów w poszyciu zewnętrznym lub wewnętrznym pojazdu bazowego (np. w celu przeprowadzenia przewodów instalacji zasilającej lub sterującej), należy w taki sposób zaplanować i zaprojektować miejsca otworów, aby były one jak najmniej widoczne (zakamuflowane).</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Podczas montażu poszczególnych elementów zabudowy pojazdu Wykonawca musi korzystać z fabrycznych lub dedykowanych elementów przewidzianych przez producenta danego urządzenia.</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elementy zabudowy oraz systemy ich mocowania muszą zapewniać szczelność konstrukcji (przez okres minimum 8 lat), wytrzymałość na zmienne warunki atmosferyczne oraz gwarantować odpowiednią jakość i estetykę wykonania.</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stosowane przewody instalacji elektrycznej muszą spełniać wymogi określone w obowiązujących normach i przepisach dotyczących instalacji elektrycznej w motoryzacji. Przewody muszą znajdować się w osłonach w kolorze czarnym lub szarym. Wszystkie przewody należy odpowiednio oznaczyć. Przy układaniu przewodów należy koniecznie uwzględnić minimalny promień zagięcia przewodu zgodny z wymaganiami producenta.</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przewody należy ułożyć w sposób zapobiegający wibracji oraz możliwości samoczynnego przemieszczania się. Do łączenia przewodów należy stosować specjalistyczne łączniki albo kostki, które podczas zwarcia instalacji się nie stopią. Podczas układania przewodów na poziomie podłogi lub pod progiem, przewody należy dodatkowo zabezpieczyć przed uszkodzeniami mechanicznymi. Wszystkie przewody muszą być ułożone z odpowiednim zapasem długości zapobiegającym ich naprężeniu podczas eksploatacji.</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Przewody antenowe urządzeń łączności radiowej nie mogą być układane razem z przewodami instalacji elektrycznej.</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 przypadku zmian kierunku ułożenia przewodu, przed i za łukiem należy przymocować uchwyty przewodowe; jeśli przewód prowadzony jest po linii prostej, trzeba przewidzieć dostateczną ilość uchwytów. Należy stosować uchwyty pierścieniowe z tworzywa sztucznego dopasowane do liczby i grubości układanych przewodów.</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otwory i przewierty należy wygładzić i zabezpieczyć tulejkami ochronnymi krawędziowymi lub gumowymi prowadnicami.</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Każde miejsce ingerencji w metalowe elementy nadwozia pojazdu musi zostać dodatkowo zabezpieczone antykorozyjnie.</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Zamawiający dopuszcza jedynie stosowanie następujących technologii mocowania elementów i podzespołów zabudowy do nadwozia pojazdu: nitowanie za pomocą nitów zrywalnych stalowych, łączenie za pomocą śrub, wkrętów, śrub i nitonakrętek sześciokątnych.</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zastosowane elementy zabudowy pojazdu wykonane z metalu oraz wszystkie elementy łączące muszą być wykonane w technologii antykorozyjnej.</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elementy zabudowy należy umieścić w pojeździe w taki sposób, aby w przypadku uszkodzenia lub prac konserwacyjnych możliwe było ich jak najłatwiejsze wymontowanie i ponowne zamontowanie.</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Wszystkie elementy zabudowy muszą być zamontowane w pojeździe zgodnie ze wskazówkami montażu podanymi przez producentów tych elementów.</w:t>
      </w:r>
    </w:p>
    <w:p>
      <w:pPr>
        <w:pStyle w:val="Style11"/>
        <w:numPr>
          <w:ilvl w:val="3"/>
          <w:numId w:val="1"/>
        </w:numPr>
        <w:spacing w:lineRule="atLeast" w:line="100"/>
        <w:ind w:left="2127" w:hanging="851"/>
        <w:jc w:val="both"/>
        <w:rPr>
          <w:rFonts w:ascii="Arial Narrow" w:hAnsi="Arial Narrow"/>
          <w:sz w:val="22"/>
          <w:szCs w:val="22"/>
        </w:rPr>
      </w:pPr>
      <w:r>
        <w:rPr>
          <w:rFonts w:cs="Arial" w:ascii="Arial Narrow" w:hAnsi="Arial Narrow"/>
          <w:sz w:val="22"/>
          <w:szCs w:val="22"/>
        </w:rPr>
        <w:t xml:space="preserve">Wykonawca przy planowaniu zabudowy musi w pierwszej kolejności zakładać wykorzystanie wolnych przestrzeni w konstrukcji pojazdu bazowego takich jak: schowki, wnęki, itp. W przypadku braku możliwości zabudowy w wolnych  przestrzeniach Wykonawca musi osłonić dodatkowe zamontowane elementy wyposażenia dedykowanymi metalowymi pokrywami gwarantującymi odpowiedni poziom wentylacji, możliwość serwisu oraz brak dostępu przez osoby nieuprawnione. </w:t>
      </w:r>
    </w:p>
    <w:p>
      <w:pPr>
        <w:pStyle w:val="Style11"/>
        <w:numPr>
          <w:ilvl w:val="0"/>
          <w:numId w:val="0"/>
        </w:numPr>
        <w:shd w:val="clear" w:color="auto" w:fill="FFFFFF"/>
        <w:tabs>
          <w:tab w:val="left" w:pos="15458" w:leader="none"/>
        </w:tabs>
        <w:spacing w:lineRule="atLeast" w:line="240"/>
        <w:ind w:left="709" w:hanging="0"/>
        <w:jc w:val="both"/>
        <w:rPr>
          <w:rFonts w:ascii="Arial Narrow" w:hAnsi="Arial Narrow"/>
          <w:b/>
          <w:b/>
          <w:sz w:val="22"/>
          <w:szCs w:val="22"/>
        </w:rPr>
      </w:pPr>
      <w:r>
        <w:rPr>
          <w:rFonts w:ascii="Arial Narrow" w:hAnsi="Arial Narrow"/>
          <w:b/>
          <w:sz w:val="22"/>
          <w:szCs w:val="22"/>
        </w:rPr>
      </w:r>
    </w:p>
    <w:p>
      <w:pPr>
        <w:pStyle w:val="Style11"/>
        <w:numPr>
          <w:ilvl w:val="0"/>
          <w:numId w:val="0"/>
        </w:numPr>
        <w:shd w:val="clear" w:color="auto" w:fill="FFFFFF"/>
        <w:tabs>
          <w:tab w:val="left" w:pos="15458" w:leader="none"/>
        </w:tabs>
        <w:spacing w:lineRule="atLeast" w:line="240"/>
        <w:ind w:left="709" w:hanging="0"/>
        <w:jc w:val="both"/>
        <w:rPr>
          <w:rFonts w:ascii="Arial Narrow" w:hAnsi="Arial Narrow"/>
          <w:b/>
          <w:b/>
          <w:sz w:val="22"/>
          <w:szCs w:val="22"/>
        </w:rPr>
      </w:pPr>
      <w:r>
        <w:rPr>
          <w:rFonts w:ascii="Arial Narrow" w:hAnsi="Arial Narrow"/>
          <w:sz w:val="22"/>
          <w:szCs w:val="22"/>
        </w:rPr>
        <w:t xml:space="preserve">6.2.11. </w:t>
      </w:r>
      <w:r>
        <w:rPr>
          <w:rFonts w:ascii="Arial Narrow" w:hAnsi="Arial Narrow"/>
          <w:b/>
          <w:sz w:val="22"/>
          <w:szCs w:val="22"/>
        </w:rPr>
        <w:t>Wymagania dla wyposażenia pojazdu</w:t>
      </w:r>
    </w:p>
    <w:p>
      <w:pPr>
        <w:pStyle w:val="Style11"/>
        <w:numPr>
          <w:ilvl w:val="0"/>
          <w:numId w:val="0"/>
        </w:numPr>
        <w:shd w:val="clear" w:color="auto" w:fill="FFFFFF"/>
        <w:tabs>
          <w:tab w:val="left" w:pos="15458" w:leader="none"/>
        </w:tabs>
        <w:spacing w:lineRule="atLeast" w:line="240"/>
        <w:ind w:left="4320" w:hanging="3044"/>
        <w:jc w:val="both"/>
        <w:rPr>
          <w:rFonts w:ascii="Arial Narrow" w:hAnsi="Arial Narrow"/>
          <w:sz w:val="22"/>
          <w:szCs w:val="22"/>
        </w:rPr>
      </w:pPr>
      <w:r>
        <w:rPr>
          <w:rFonts w:ascii="Arial Narrow" w:hAnsi="Arial Narrow"/>
          <w:sz w:val="22"/>
          <w:szCs w:val="22"/>
        </w:rPr>
        <w:t>6.2.11.1 Tablice magnetyczne.</w:t>
      </w:r>
    </w:p>
    <w:p>
      <w:pPr>
        <w:pStyle w:val="Style11"/>
        <w:numPr>
          <w:ilvl w:val="0"/>
          <w:numId w:val="0"/>
        </w:numPr>
        <w:shd w:val="clear" w:color="auto" w:fill="FFFFFF"/>
        <w:tabs>
          <w:tab w:val="left" w:pos="15458" w:leader="none"/>
        </w:tabs>
        <w:spacing w:lineRule="atLeast" w:line="240"/>
        <w:ind w:left="2127" w:hanging="0"/>
        <w:jc w:val="both"/>
        <w:rPr>
          <w:rFonts w:ascii="Arial Narrow" w:hAnsi="Arial Narrow"/>
          <w:b/>
          <w:b/>
          <w:sz w:val="22"/>
          <w:szCs w:val="22"/>
        </w:rPr>
      </w:pPr>
      <w:r>
        <w:rPr>
          <w:rFonts w:ascii="Arial Narrow" w:hAnsi="Arial Narrow"/>
          <w:sz w:val="22"/>
          <w:szCs w:val="22"/>
        </w:rPr>
        <w:t xml:space="preserve">Pojazd musi posiadać dwie tablice z napisem „POLICJA” wykonane na podłożu z folii magnetycznej o wymiarach 160x500 mm, wys./gr. liter 100/18 mm. Tablice wykonane w barwie niebieskiej odblaskowej a napis w barwie białej odblaskowej. Materiały użyte do wykonania tablic muszą spełniać wymagania określone w załączniku nr 1. </w:t>
      </w:r>
      <w:r>
        <w:rPr>
          <w:rFonts w:ascii="Arial Narrow" w:hAnsi="Arial Narrow"/>
          <w:b/>
          <w:sz w:val="22"/>
          <w:szCs w:val="22"/>
        </w:rPr>
        <w:t xml:space="preserve">Spełnienie wymogu musi być potwierdzone oświadczeniem Wykonawcy wystawionym na podstawie sprawozdania z badań wydanego przez krajowe laboratorium akredytowane w zakresie badań materiałów odblaskowych, </w:t>
      </w:r>
      <w:r>
        <w:rPr>
          <w:rFonts w:eastAsia="Calibri" w:cs="Arial" w:ascii="Arial Narrow" w:hAnsi="Arial Narrow"/>
          <w:b/>
          <w:sz w:val="22"/>
          <w:szCs w:val="22"/>
        </w:rPr>
        <w:t xml:space="preserve">przekazanym Zamawiającemu w fazie odbioru </w:t>
      </w:r>
      <w:r>
        <w:rPr>
          <w:rFonts w:eastAsia="Calibri" w:cs="Arial" w:ascii="Arial Narrow" w:hAnsi="Arial Narrow"/>
          <w:b/>
          <w:bCs/>
          <w:iCs/>
          <w:sz w:val="22"/>
          <w:szCs w:val="22"/>
          <w:lang w:eastAsia="en-US"/>
        </w:rPr>
        <w:t>kolejnych pojazdów po montażu sygnalizacji.</w:t>
      </w:r>
    </w:p>
    <w:p>
      <w:pPr>
        <w:pStyle w:val="Style11"/>
        <w:numPr>
          <w:ilvl w:val="0"/>
          <w:numId w:val="0"/>
        </w:numPr>
        <w:shd w:val="clear" w:color="auto" w:fill="FFFFFF"/>
        <w:tabs>
          <w:tab w:val="left" w:pos="15458" w:leader="none"/>
        </w:tabs>
        <w:spacing w:lineRule="atLeast" w:line="240"/>
        <w:ind w:left="2127" w:hanging="0"/>
        <w:jc w:val="both"/>
        <w:rPr>
          <w:rFonts w:ascii="Arial Narrow" w:hAnsi="Arial Narrow"/>
          <w:b/>
          <w:b/>
          <w:sz w:val="22"/>
          <w:szCs w:val="22"/>
        </w:rPr>
      </w:pPr>
      <w:r>
        <w:rPr>
          <w:rFonts w:ascii="Arial Narrow" w:hAnsi="Arial Narrow"/>
          <w:b/>
          <w:sz w:val="22"/>
          <w:szCs w:val="22"/>
        </w:rPr>
      </w:r>
    </w:p>
    <w:p>
      <w:pPr>
        <w:pStyle w:val="Style11"/>
        <w:numPr>
          <w:ilvl w:val="0"/>
          <w:numId w:val="1"/>
        </w:numPr>
        <w:jc w:val="both"/>
        <w:rPr>
          <w:rFonts w:ascii="Arial Narrow" w:hAnsi="Arial Narrow"/>
          <w:sz w:val="22"/>
          <w:szCs w:val="22"/>
        </w:rPr>
      </w:pPr>
      <w:r>
        <w:rPr>
          <w:rFonts w:ascii="Arial Narrow" w:hAnsi="Arial Narrow"/>
          <w:b/>
          <w:bCs/>
          <w:sz w:val="22"/>
          <w:szCs w:val="22"/>
        </w:rPr>
        <w:t xml:space="preserve">Gwarancja Wykonawcy </w:t>
      </w:r>
    </w:p>
    <w:p>
      <w:pPr>
        <w:pStyle w:val="Style11"/>
        <w:numPr>
          <w:ilvl w:val="1"/>
          <w:numId w:val="1"/>
        </w:numPr>
        <w:ind w:left="851" w:hanging="425"/>
        <w:jc w:val="both"/>
        <w:rPr>
          <w:rFonts w:ascii="Arial Narrow" w:hAnsi="Arial Narrow"/>
          <w:sz w:val="22"/>
          <w:szCs w:val="22"/>
        </w:rPr>
      </w:pPr>
      <w:r>
        <w:rPr>
          <w:rFonts w:eastAsia="Calibri" w:cs="Arial" w:ascii="Arial Narrow" w:hAnsi="Arial Narrow"/>
          <w:sz w:val="22"/>
          <w:szCs w:val="22"/>
          <w:lang w:eastAsia="en-US"/>
        </w:rPr>
        <w:t>Sygnalizacja musi być objęta gwarancją na okres 36</w:t>
      </w:r>
      <w:bookmarkStart w:id="0" w:name="_GoBack"/>
      <w:bookmarkEnd w:id="0"/>
      <w:r>
        <w:rPr>
          <w:rFonts w:eastAsia="Calibri" w:cs="Arial" w:ascii="Arial Narrow" w:hAnsi="Arial Narrow"/>
          <w:sz w:val="22"/>
          <w:szCs w:val="22"/>
          <w:lang w:eastAsia="en-US"/>
        </w:rPr>
        <w:t xml:space="preserve"> miesięcy licząc od daty odbioru pojazdu przez Zamawiającego po montażu sygnalizacji.</w:t>
      </w:r>
    </w:p>
    <w:p>
      <w:pPr>
        <w:pStyle w:val="Style11"/>
        <w:numPr>
          <w:ilvl w:val="1"/>
          <w:numId w:val="1"/>
        </w:numPr>
        <w:ind w:left="851" w:hanging="425"/>
        <w:jc w:val="both"/>
        <w:rPr>
          <w:rFonts w:ascii="Arial Narrow" w:hAnsi="Arial Narrow"/>
          <w:sz w:val="22"/>
          <w:szCs w:val="22"/>
        </w:rPr>
      </w:pPr>
      <w:r>
        <w:rPr>
          <w:rFonts w:eastAsia="Calibri" w:cs="Arial" w:ascii="Arial Narrow" w:hAnsi="Arial Narrow"/>
          <w:sz w:val="22"/>
          <w:szCs w:val="22"/>
          <w:lang w:eastAsia="en-US"/>
        </w:rPr>
        <w:t xml:space="preserve">Zgłoszenie o wystąpieniu wady będą dokonywać upoważnieni przez Zamawiającego przedstawiciele jednostek organizacyjnych Policji i przekażą je Wykonawcy telefonicznie na nr …………………….., co zostanie dodatkowo potwierdzone przesłaną tego samego dnia reklamacją zawierającą informacje </w:t>
        <w:br/>
        <w:t>o wystąpieniu wady na adres poczty elektronicznej …………………………………...</w:t>
      </w:r>
    </w:p>
    <w:p>
      <w:pPr>
        <w:pStyle w:val="Style11"/>
        <w:numPr>
          <w:ilvl w:val="1"/>
          <w:numId w:val="1"/>
        </w:numPr>
        <w:ind w:left="851" w:hanging="425"/>
        <w:jc w:val="both"/>
        <w:rPr>
          <w:rFonts w:ascii="Arial Narrow" w:hAnsi="Arial Narrow"/>
          <w:sz w:val="22"/>
          <w:szCs w:val="22"/>
        </w:rPr>
      </w:pPr>
      <w:r>
        <w:rPr>
          <w:rFonts w:ascii="Arial Narrow" w:hAnsi="Arial Narrow"/>
          <w:sz w:val="22"/>
          <w:szCs w:val="22"/>
        </w:rPr>
        <w:t xml:space="preserve">Wykonawca zobowiązany jest rozpatrzyć reklamację w terminie 7 dni roboczych, licząc od dnia </w:t>
        <w:br/>
        <w:t>jej otrzymania. Brak odpowiedzi (przekazanej pocztą elektroniczną na</w:t>
      </w:r>
      <w:r>
        <w:rPr>
          <w:rFonts w:ascii="Arial Narrow" w:hAnsi="Arial Narrow"/>
          <w:bCs/>
          <w:sz w:val="22"/>
          <w:szCs w:val="22"/>
        </w:rPr>
        <w:t xml:space="preserve"> adres e-mail: </w:t>
      </w:r>
      <w:r>
        <w:rPr>
          <w:rFonts w:ascii="Arial Narrow" w:hAnsi="Arial Narrow"/>
          <w:sz w:val="22"/>
          <w:szCs w:val="22"/>
        </w:rPr>
        <w:t>...................................@po.policja.gov.pl</w:t>
      </w:r>
      <w:r>
        <w:rPr>
          <w:rFonts w:ascii="Arial Narrow" w:hAnsi="Arial Narrow"/>
          <w:bCs/>
          <w:sz w:val="22"/>
          <w:szCs w:val="22"/>
        </w:rPr>
        <w:t>)</w:t>
      </w:r>
      <w:r>
        <w:rPr>
          <w:rFonts w:ascii="Arial Narrow" w:hAnsi="Arial Narrow"/>
          <w:sz w:val="22"/>
          <w:szCs w:val="22"/>
        </w:rPr>
        <w:t xml:space="preserve"> na zgłoszoną reklamację w wyznaczonym wyżej terminie uważa się za jej uznanie.</w:t>
      </w:r>
    </w:p>
    <w:p>
      <w:pPr>
        <w:pStyle w:val="Style11"/>
        <w:numPr>
          <w:ilvl w:val="1"/>
          <w:numId w:val="1"/>
        </w:numPr>
        <w:ind w:left="851" w:hanging="425"/>
        <w:jc w:val="both"/>
        <w:rPr>
          <w:rFonts w:ascii="Arial Narrow" w:hAnsi="Arial Narrow"/>
          <w:sz w:val="22"/>
          <w:szCs w:val="22"/>
        </w:rPr>
      </w:pPr>
      <w:r>
        <w:rPr>
          <w:rFonts w:ascii="Arial Narrow" w:hAnsi="Arial Narrow"/>
          <w:color w:val="000000"/>
          <w:sz w:val="22"/>
          <w:szCs w:val="22"/>
        </w:rPr>
        <w:t>Uznanie reklamacji skutkuje wymianą w</w:t>
      </w:r>
      <w:r>
        <w:rPr>
          <w:rFonts w:ascii="Arial Narrow" w:hAnsi="Arial Narrow"/>
          <w:sz w:val="22"/>
          <w:szCs w:val="22"/>
        </w:rPr>
        <w:t>adliwego elementu na nowy w terminie do 15 dni roboczych licząc od daty uznania reklamacji przez Wykonawcę na jego koszt.</w:t>
      </w:r>
    </w:p>
    <w:p>
      <w:pPr>
        <w:pStyle w:val="Style11"/>
        <w:numPr>
          <w:ilvl w:val="1"/>
          <w:numId w:val="1"/>
        </w:numPr>
        <w:ind w:left="851" w:hanging="425"/>
        <w:jc w:val="both"/>
        <w:rPr>
          <w:rFonts w:ascii="Arial Narrow" w:hAnsi="Arial Narrow"/>
        </w:rPr>
      </w:pPr>
      <w:r>
        <w:rPr>
          <w:rFonts w:ascii="Arial Narrow" w:hAnsi="Arial Narrow"/>
          <w:color w:val="000000"/>
          <w:sz w:val="22"/>
          <w:szCs w:val="22"/>
        </w:rPr>
        <w:t xml:space="preserve">Naprawy w ramach gwarancji </w:t>
      </w:r>
      <w:r>
        <w:rPr>
          <w:rFonts w:ascii="Arial Narrow" w:hAnsi="Arial Narrow"/>
          <w:sz w:val="22"/>
          <w:szCs w:val="22"/>
        </w:rPr>
        <w:t xml:space="preserve">realizowane będą bezpłatnie w miejscu użytkowania pojazdu. W przypadku gdy przegląd lub naprawa jest niemożliwa do wykonania w miejscu użytkowania pojazdu Zamawiający dopuszcza możliwość wykonywania przeglądów lub napraw w miejscu wskazanym przez Wykonawcę. Wykonawca zobowiązany jest do zorganizowania na własny koszt transportu pojazdu do miejsca wykonania naprawy oraz po wykonanej naprawie do miejsca użytkowania </w:t>
      </w:r>
      <w:r>
        <w:rPr>
          <w:rFonts w:eastAsia="Calibri" w:ascii="Arial Narrow" w:hAnsi="Arial Narrow"/>
          <w:sz w:val="22"/>
          <w:szCs w:val="22"/>
          <w:lang w:eastAsia="en-US"/>
        </w:rPr>
        <w:t>pojazdu.</w:t>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Normal"/>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right"/>
        <w:rPr>
          <w:rFonts w:ascii="Arial Narrow" w:hAnsi="Arial Narrow" w:cs="Arial"/>
          <w:b/>
          <w:b/>
          <w:szCs w:val="24"/>
          <w:lang w:val="en-US"/>
        </w:rPr>
      </w:pPr>
      <w:r>
        <w:rPr>
          <w:rFonts w:cs="Arial" w:ascii="Arial Narrow" w:hAnsi="Arial Narrow"/>
          <w:b/>
          <w:szCs w:val="24"/>
          <w:lang w:val="en-US"/>
        </w:rPr>
      </w:r>
    </w:p>
    <w:p>
      <w:pPr>
        <w:pStyle w:val="ListParagraph"/>
        <w:widowControl w:val="false"/>
        <w:numPr>
          <w:ilvl w:val="0"/>
          <w:numId w:val="2"/>
        </w:numPr>
        <w:shd w:val="clear" w:color="auto" w:fill="D9D9D9" w:themeFill="background1" w:themeFillShade="d9"/>
        <w:spacing w:before="0" w:after="120"/>
        <w:jc w:val="both"/>
        <w:rPr>
          <w:rFonts w:ascii="Arial Narrow" w:hAnsi="Arial Narrow"/>
          <w:sz w:val="22"/>
          <w:szCs w:val="22"/>
          <w:lang w:eastAsia="zh-CN"/>
        </w:rPr>
      </w:pPr>
      <w:r>
        <w:rPr>
          <w:rFonts w:cs="Arial" w:ascii="Arial Narrow" w:hAnsi="Arial Narrow"/>
          <w:b/>
          <w:sz w:val="22"/>
          <w:szCs w:val="22"/>
        </w:rPr>
        <w:t>WYMAGANIA DLA MATERIAŁÓW UŻYWANYCH DO WYKONANIA OZNAKOWANIA POJAZDÓW POLICYJNYCH</w:t>
      </w:r>
    </w:p>
    <w:p>
      <w:pPr>
        <w:pStyle w:val="ListParagraph"/>
        <w:widowControl w:val="false"/>
        <w:numPr>
          <w:ilvl w:val="1"/>
          <w:numId w:val="2"/>
        </w:numPr>
        <w:spacing w:before="0" w:after="120"/>
        <w:jc w:val="both"/>
        <w:rPr>
          <w:rFonts w:ascii="Arial Narrow" w:hAnsi="Arial Narrow"/>
          <w:sz w:val="22"/>
          <w:szCs w:val="22"/>
          <w:lang w:eastAsia="zh-CN"/>
        </w:rPr>
      </w:pPr>
      <w:r>
        <w:rPr>
          <w:rFonts w:cs="Arial" w:ascii="Arial Narrow" w:hAnsi="Arial Narrow"/>
          <w:b/>
          <w:sz w:val="22"/>
          <w:szCs w:val="22"/>
        </w:rPr>
        <w:t>Wymagania ogólne:</w:t>
      </w:r>
    </w:p>
    <w:tbl>
      <w:tblPr>
        <w:tblW w:w="9384" w:type="dxa"/>
        <w:jc w:val="left"/>
        <w:tblInd w:w="564"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54" w:type="dxa"/>
          <w:bottom w:w="0" w:type="dxa"/>
          <w:right w:w="2" w:type="dxa"/>
        </w:tblCellMar>
        <w:tblLook w:firstRow="1" w:noVBand="1" w:lastRow="0" w:firstColumn="1" w:lastColumn="0" w:noHBand="0" w:val="04a0"/>
      </w:tblPr>
      <w:tblGrid>
        <w:gridCol w:w="3117"/>
        <w:gridCol w:w="227"/>
        <w:gridCol w:w="6040"/>
      </w:tblGrid>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Grubość materiału</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 xml:space="preserve">≤ </w:t>
            </w:r>
            <w:r>
              <w:rPr>
                <w:rFonts w:cs="Arial" w:ascii="Arial Narrow" w:hAnsi="Arial Narrow"/>
                <w:sz w:val="22"/>
                <w:szCs w:val="22"/>
              </w:rPr>
              <w:t>1 mm</w:t>
            </w:r>
          </w:p>
        </w:tc>
      </w:tr>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Wymagania odnośnie aplikacji</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3" w:hanging="0"/>
              <w:jc w:val="left"/>
              <w:rPr>
                <w:rFonts w:ascii="Arial Narrow" w:hAnsi="Arial Narrow" w:cs="Arial"/>
                <w:sz w:val="22"/>
                <w:szCs w:val="22"/>
              </w:rPr>
            </w:pPr>
            <w:r>
              <w:rPr>
                <w:rFonts w:cs="Arial" w:ascii="Arial Narrow" w:hAnsi="Arial Narrow"/>
                <w:sz w:val="22"/>
                <w:szCs w:val="22"/>
              </w:rPr>
              <w:t>Zgodnie z instrukcją producenta</w:t>
            </w:r>
          </w:p>
        </w:tc>
      </w:tr>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Oczekiwana trwałość i okres gwarancji</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3" w:hanging="0"/>
              <w:jc w:val="left"/>
              <w:rPr>
                <w:rFonts w:ascii="Arial Narrow" w:hAnsi="Arial Narrow" w:cs="Arial"/>
                <w:sz w:val="22"/>
                <w:szCs w:val="22"/>
              </w:rPr>
            </w:pPr>
            <w:r>
              <w:rPr>
                <w:rFonts w:cs="Arial" w:ascii="Arial Narrow" w:hAnsi="Arial Narrow"/>
                <w:sz w:val="22"/>
                <w:szCs w:val="22"/>
              </w:rPr>
              <w:t>min 5 lat</w:t>
            </w:r>
          </w:p>
        </w:tc>
      </w:tr>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Zakres temperatur</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3" w:hanging="0"/>
              <w:jc w:val="left"/>
              <w:rPr>
                <w:rFonts w:ascii="Arial Narrow" w:hAnsi="Arial Narrow" w:cs="Arial"/>
                <w:sz w:val="22"/>
                <w:szCs w:val="22"/>
              </w:rPr>
            </w:pPr>
            <w:r>
              <w:rPr>
                <w:rFonts w:cs="Arial" w:ascii="Arial Narrow" w:hAnsi="Arial Narrow"/>
                <w:sz w:val="22"/>
                <w:szCs w:val="22"/>
              </w:rPr>
              <w:t>-30ºC ÷ 70ºC</w:t>
            </w:r>
          </w:p>
        </w:tc>
      </w:tr>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Badania</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3" w:hanging="0"/>
              <w:jc w:val="left"/>
              <w:rPr>
                <w:rFonts w:ascii="Arial Narrow" w:hAnsi="Arial Narrow" w:cs="Arial"/>
                <w:sz w:val="22"/>
                <w:szCs w:val="22"/>
              </w:rPr>
            </w:pPr>
            <w:r>
              <w:rPr>
                <w:rFonts w:cs="Arial" w:ascii="Arial Narrow" w:hAnsi="Arial Narrow"/>
                <w:sz w:val="22"/>
                <w:szCs w:val="22"/>
              </w:rPr>
              <w:t>krajowe laboratorium akredytowane w zakresie badań materiałów odblaskowych</w:t>
            </w:r>
          </w:p>
        </w:tc>
      </w:tr>
      <w:tr>
        <w:trPr>
          <w:trHeight w:val="20" w:hRule="atLeast"/>
        </w:trPr>
        <w:tc>
          <w:tcPr>
            <w:tcW w:w="311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Okres ważności badań</w:t>
            </w:r>
          </w:p>
        </w:tc>
        <w:tc>
          <w:tcPr>
            <w:tcW w:w="22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0" w:hanging="0"/>
              <w:jc w:val="left"/>
              <w:rPr>
                <w:rFonts w:ascii="Arial Narrow" w:hAnsi="Arial Narrow" w:cs="Arial"/>
                <w:sz w:val="22"/>
                <w:szCs w:val="22"/>
              </w:rPr>
            </w:pPr>
            <w:r>
              <w:rPr>
                <w:rFonts w:cs="Arial" w:ascii="Arial Narrow" w:hAnsi="Arial Narrow"/>
                <w:sz w:val="22"/>
                <w:szCs w:val="22"/>
              </w:rPr>
              <w:t>-</w:t>
            </w:r>
          </w:p>
        </w:tc>
        <w:tc>
          <w:tcPr>
            <w:tcW w:w="60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ind w:left="3" w:hanging="0"/>
              <w:jc w:val="left"/>
              <w:rPr>
                <w:rFonts w:ascii="Arial Narrow" w:hAnsi="Arial Narrow" w:cs="Arial"/>
                <w:sz w:val="22"/>
                <w:szCs w:val="22"/>
              </w:rPr>
            </w:pPr>
            <w:r>
              <w:rPr>
                <w:rFonts w:cs="Arial" w:ascii="Arial Narrow" w:hAnsi="Arial Narrow"/>
                <w:sz w:val="22"/>
                <w:szCs w:val="22"/>
              </w:rPr>
              <w:t>5 lat</w:t>
            </w:r>
          </w:p>
        </w:tc>
      </w:tr>
    </w:tbl>
    <w:p>
      <w:pPr>
        <w:pStyle w:val="ListParagraph"/>
        <w:numPr>
          <w:ilvl w:val="1"/>
          <w:numId w:val="2"/>
        </w:numPr>
        <w:spacing w:before="120" w:after="120"/>
        <w:ind w:left="567" w:right="142" w:hanging="567"/>
        <w:rPr>
          <w:rFonts w:ascii="Arial Narrow" w:hAnsi="Arial Narrow" w:cs="Arial"/>
          <w:sz w:val="22"/>
          <w:szCs w:val="22"/>
        </w:rPr>
      </w:pPr>
      <w:r>
        <w:rPr>
          <w:rFonts w:cs="Arial" w:ascii="Arial Narrow" w:hAnsi="Arial Narrow"/>
          <w:b/>
          <w:sz w:val="22"/>
          <w:szCs w:val="22"/>
        </w:rPr>
        <w:t xml:space="preserve">Zakres badań fotometrycznych </w:t>
      </w:r>
    </w:p>
    <w:p>
      <w:pPr>
        <w:pStyle w:val="ListParagraph"/>
        <w:numPr>
          <w:ilvl w:val="2"/>
          <w:numId w:val="2"/>
        </w:numPr>
        <w:spacing w:before="0" w:after="40"/>
        <w:ind w:left="1276" w:right="142" w:hanging="709"/>
        <w:contextualSpacing/>
        <w:rPr>
          <w:rFonts w:ascii="Arial Narrow" w:hAnsi="Arial Narrow" w:cs="Arial"/>
          <w:sz w:val="22"/>
          <w:szCs w:val="22"/>
        </w:rPr>
      </w:pPr>
      <w:r>
        <w:rPr>
          <w:rFonts w:cs="Arial" w:ascii="Arial Narrow" w:hAnsi="Arial Narrow"/>
          <w:sz w:val="22"/>
          <w:szCs w:val="22"/>
          <w:u w:val="single"/>
        </w:rPr>
        <w:t xml:space="preserve">Gęstość powierzchniowa współczynnika odblasku R’ dla materiału nowego </w:t>
      </w:r>
      <w:r>
        <w:rPr>
          <w:rFonts w:cs="Arial" w:ascii="Arial Narrow" w:hAnsi="Arial Narrow"/>
          <w:sz w:val="22"/>
          <w:szCs w:val="22"/>
        </w:rPr>
        <w:t>(Metoda badań zgodna z CIE 54.2:2001)</w:t>
      </w:r>
    </w:p>
    <w:tbl>
      <w:tblPr>
        <w:tblW w:w="8265" w:type="dxa"/>
        <w:jc w:val="left"/>
        <w:tblInd w:w="127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0" w:type="dxa"/>
          <w:bottom w:w="0" w:type="dxa"/>
          <w:right w:w="2" w:type="dxa"/>
        </w:tblCellMar>
        <w:tblLook w:firstRow="1" w:noVBand="1" w:lastRow="0" w:firstColumn="1" w:lastColumn="0" w:noHBand="0" w:val="04a0"/>
      </w:tblPr>
      <w:tblGrid>
        <w:gridCol w:w="1414"/>
        <w:gridCol w:w="1420"/>
        <w:gridCol w:w="1567"/>
        <w:gridCol w:w="1367"/>
        <w:gridCol w:w="1277"/>
        <w:gridCol w:w="1219"/>
      </w:tblGrid>
      <w:tr>
        <w:trPr>
          <w:trHeight w:val="580" w:hRule="exact"/>
        </w:trPr>
        <w:tc>
          <w:tcPr>
            <w:tcW w:w="141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center"/>
              <w:rPr>
                <w:rFonts w:ascii="Arial Narrow" w:hAnsi="Arial Narrow" w:cs="Arial"/>
                <w:sz w:val="22"/>
                <w:szCs w:val="22"/>
              </w:rPr>
            </w:pPr>
            <w:r>
              <w:rPr>
                <w:rFonts w:cs="Arial" w:ascii="Arial Narrow" w:hAnsi="Arial Narrow"/>
                <w:sz w:val="22"/>
                <w:szCs w:val="22"/>
              </w:rPr>
              <w:t>Kąt obserwacji</w:t>
            </w:r>
          </w:p>
          <w:p>
            <w:pPr>
              <w:pStyle w:val="Normal"/>
              <w:widowControl w:val="false"/>
              <w:ind w:left="412" w:right="96" w:hanging="293"/>
              <w:jc w:val="center"/>
              <w:rPr>
                <w:rFonts w:ascii="Arial Narrow" w:hAnsi="Arial Narrow" w:cs="Arial"/>
                <w:sz w:val="22"/>
                <w:szCs w:val="22"/>
              </w:rPr>
            </w:pPr>
            <w:r>
              <w:rPr>
                <w:rFonts w:eastAsia="Symbol" w:cs="Symbol" w:ascii="Symbol" w:hAnsi="Symbol"/>
                <w:sz w:val="22"/>
                <w:szCs w:val="22"/>
              </w:rPr>
              <w:t></w:t>
            </w:r>
          </w:p>
        </w:tc>
        <w:tc>
          <w:tcPr>
            <w:tcW w:w="1420"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center"/>
              <w:rPr>
                <w:rFonts w:ascii="Arial Narrow" w:hAnsi="Arial Narrow" w:cs="Arial"/>
                <w:sz w:val="22"/>
                <w:szCs w:val="22"/>
              </w:rPr>
            </w:pPr>
            <w:r>
              <w:rPr>
                <w:rFonts w:cs="Arial" w:ascii="Arial Narrow" w:hAnsi="Arial Narrow"/>
                <w:sz w:val="22"/>
                <w:szCs w:val="22"/>
              </w:rPr>
              <w:t>Kąt oświetlenia</w:t>
            </w:r>
          </w:p>
          <w:p>
            <w:pPr>
              <w:pStyle w:val="Normal"/>
              <w:ind w:left="0" w:hanging="0"/>
              <w:jc w:val="center"/>
              <w:rPr>
                <w:rFonts w:ascii="Arial Narrow" w:hAnsi="Arial Narrow" w:cs="Arial"/>
                <w:sz w:val="22"/>
                <w:szCs w:val="22"/>
              </w:rPr>
            </w:pPr>
            <w:r>
              <w:rPr>
                <w:rFonts w:eastAsia="Symbol" w:cs="Symbol" w:ascii="Symbol" w:hAnsi="Symbol"/>
                <w:sz w:val="22"/>
                <w:szCs w:val="22"/>
              </w:rPr>
              <w:t></w:t>
            </w:r>
            <w:r>
              <w:rPr>
                <w:rFonts w:cs="Arial" w:ascii="Arial Narrow" w:hAnsi="Arial Narrow"/>
                <w:sz w:val="22"/>
                <w:szCs w:val="22"/>
                <w:vertAlign w:val="subscript"/>
              </w:rPr>
              <w:t>1</w:t>
            </w:r>
          </w:p>
          <w:p>
            <w:pPr>
              <w:pStyle w:val="Normal"/>
              <w:widowControl w:val="false"/>
              <w:ind w:left="271" w:right="116" w:hanging="132"/>
              <w:jc w:val="center"/>
              <w:rPr>
                <w:rFonts w:ascii="Arial Narrow" w:hAnsi="Arial Narrow" w:cs="Arial"/>
                <w:sz w:val="22"/>
                <w:szCs w:val="22"/>
              </w:rPr>
            </w:pPr>
            <w:r>
              <w:rPr>
                <w:rFonts w:cs="Arial" w:ascii="Arial Narrow" w:hAnsi="Arial Narrow"/>
                <w:sz w:val="22"/>
                <w:szCs w:val="22"/>
              </w:rPr>
              <w:t>(</w:t>
            </w:r>
            <w:r>
              <w:rPr>
                <w:rFonts w:eastAsia="Symbol" w:cs="Symbol" w:ascii="Symbol" w:hAnsi="Symbol"/>
                <w:sz w:val="22"/>
                <w:szCs w:val="22"/>
              </w:rPr>
              <w:t></w:t>
            </w:r>
            <w:r>
              <w:rPr>
                <w:rFonts w:cs="Arial" w:ascii="Arial Narrow" w:hAnsi="Arial Narrow"/>
                <w:sz w:val="22"/>
                <w:szCs w:val="22"/>
                <w:vertAlign w:val="subscript"/>
              </w:rPr>
              <w:t>2</w:t>
            </w:r>
            <w:r>
              <w:rPr>
                <w:rFonts w:cs="Arial" w:ascii="Arial Narrow" w:hAnsi="Arial Narrow"/>
                <w:sz w:val="22"/>
                <w:szCs w:val="22"/>
              </w:rPr>
              <w:t>=0)</w:t>
            </w:r>
          </w:p>
        </w:tc>
        <w:tc>
          <w:tcPr>
            <w:tcW w:w="5430" w:type="dxa"/>
            <w:gridSpan w:val="4"/>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568" w:right="1600" w:hanging="0"/>
              <w:jc w:val="center"/>
              <w:rPr>
                <w:rFonts w:ascii="Arial Narrow" w:hAnsi="Arial Narrow" w:cs="Arial"/>
                <w:sz w:val="22"/>
                <w:szCs w:val="22"/>
              </w:rPr>
            </w:pPr>
            <w:r>
              <w:rPr>
                <w:rFonts w:cs="Arial" w:ascii="Arial Narrow" w:hAnsi="Arial Narrow"/>
                <w:sz w:val="22"/>
                <w:szCs w:val="22"/>
              </w:rPr>
              <w:t>R’ [cd/lx·m</w:t>
            </w:r>
            <w:r>
              <w:rPr>
                <w:rFonts w:cs="Arial" w:ascii="Arial Narrow" w:hAnsi="Arial Narrow"/>
                <w:sz w:val="22"/>
                <w:szCs w:val="22"/>
                <w:vertAlign w:val="superscript"/>
              </w:rPr>
              <w:t>2</w:t>
            </w:r>
            <w:r>
              <w:rPr>
                <w:rFonts w:cs="Arial" w:ascii="Arial Narrow" w:hAnsi="Arial Narrow"/>
                <w:sz w:val="22"/>
                <w:szCs w:val="22"/>
              </w:rPr>
              <w:t>]</w:t>
            </w:r>
          </w:p>
        </w:tc>
      </w:tr>
      <w:tr>
        <w:trPr>
          <w:trHeight w:val="895"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113" w:right="110" w:hanging="0"/>
              <w:jc w:val="center"/>
              <w:rPr>
                <w:rFonts w:ascii="Arial Narrow" w:hAnsi="Arial Narrow" w:cs="Arial"/>
                <w:sz w:val="22"/>
                <w:szCs w:val="22"/>
              </w:rPr>
            </w:pPr>
            <w:r>
              <w:rPr>
                <w:rFonts w:cs="Arial" w:ascii="Arial Narrow" w:hAnsi="Arial Narrow"/>
                <w:sz w:val="22"/>
                <w:szCs w:val="22"/>
              </w:rPr>
              <w:t>Fluorescencyjny</w:t>
            </w:r>
          </w:p>
          <w:p>
            <w:pPr>
              <w:pStyle w:val="Normal"/>
              <w:widowControl w:val="false"/>
              <w:ind w:left="113" w:right="110" w:hanging="0"/>
              <w:jc w:val="center"/>
              <w:rPr>
                <w:rFonts w:ascii="Arial Narrow" w:hAnsi="Arial Narrow" w:cs="Arial"/>
                <w:sz w:val="22"/>
                <w:szCs w:val="22"/>
              </w:rPr>
            </w:pPr>
            <w:r>
              <w:rPr>
                <w:rFonts w:cs="Arial" w:ascii="Arial Narrow" w:hAnsi="Arial Narrow"/>
                <w:sz w:val="22"/>
                <w:szCs w:val="22"/>
              </w:rPr>
              <w:t>Żółto-zielony</w:t>
            </w:r>
          </w:p>
        </w:tc>
        <w:tc>
          <w:tcPr>
            <w:tcW w:w="13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Niebieski</w:t>
            </w:r>
          </w:p>
        </w:tc>
        <w:tc>
          <w:tcPr>
            <w:tcW w:w="1277" w:type="dxa"/>
            <w:tcBorders>
              <w:top w:val="single" w:sz="2"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vAlign w:val="center"/>
          </w:tcPr>
          <w:p>
            <w:pPr>
              <w:pStyle w:val="Normal"/>
              <w:widowControl w:val="false"/>
              <w:ind w:left="112" w:right="110" w:hanging="0"/>
              <w:jc w:val="center"/>
              <w:rPr>
                <w:rFonts w:ascii="Arial Narrow" w:hAnsi="Arial Narrow" w:cs="Arial"/>
                <w:sz w:val="22"/>
                <w:szCs w:val="22"/>
              </w:rPr>
            </w:pPr>
            <w:r>
              <w:rPr>
                <w:rFonts w:cs="Arial" w:ascii="Arial Narrow" w:hAnsi="Arial Narrow"/>
                <w:sz w:val="22"/>
                <w:szCs w:val="22"/>
              </w:rPr>
              <w:t>Biały</w:t>
            </w:r>
          </w:p>
        </w:tc>
        <w:tc>
          <w:tcPr>
            <w:tcW w:w="1219" w:type="dxa"/>
            <w:tcBorders>
              <w:top w:val="single" w:sz="2"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vAlign w:val="center"/>
          </w:tcPr>
          <w:p>
            <w:pPr>
              <w:pStyle w:val="Normal"/>
              <w:widowControl w:val="false"/>
              <w:ind w:left="112" w:right="110" w:hanging="0"/>
              <w:jc w:val="center"/>
              <w:rPr>
                <w:rFonts w:ascii="Arial Narrow" w:hAnsi="Arial Narrow" w:cs="Arial"/>
                <w:sz w:val="22"/>
                <w:szCs w:val="22"/>
              </w:rPr>
            </w:pPr>
            <w:r>
              <w:rPr>
                <w:rFonts w:cs="Arial" w:ascii="Arial Narrow" w:hAnsi="Arial Narrow"/>
                <w:sz w:val="22"/>
                <w:szCs w:val="22"/>
              </w:rPr>
              <w:t>Czerwony</w:t>
            </w:r>
          </w:p>
        </w:tc>
      </w:tr>
      <w:tr>
        <w:trPr>
          <w:trHeight w:val="358" w:hRule="exact"/>
        </w:trPr>
        <w:tc>
          <w:tcPr>
            <w:tcW w:w="141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r>
          </w:p>
          <w:p>
            <w:pPr>
              <w:pStyle w:val="Normal"/>
              <w:widowControl w:val="false"/>
              <w:ind w:left="0" w:hanging="0"/>
              <w:jc w:val="center"/>
              <w:rPr>
                <w:rFonts w:ascii="Arial Narrow" w:hAnsi="Arial Narrow" w:cs="Arial"/>
                <w:sz w:val="22"/>
                <w:szCs w:val="22"/>
              </w:rPr>
            </w:pPr>
            <w:r>
              <w:rPr>
                <w:rFonts w:cs="Arial" w:ascii="Arial Narrow" w:hAnsi="Arial Narrow"/>
                <w:sz w:val="22"/>
                <w:szCs w:val="22"/>
              </w:rPr>
              <w:t>0,20°</w:t>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300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25</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350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60</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30°</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150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12</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150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25</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45°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33</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3</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40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7</w:t>
            </w:r>
          </w:p>
        </w:tc>
      </w:tr>
      <w:tr>
        <w:trPr>
          <w:trHeight w:val="358" w:hRule="exact"/>
        </w:trPr>
        <w:tc>
          <w:tcPr>
            <w:tcW w:w="141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r>
          </w:p>
          <w:p>
            <w:pPr>
              <w:pStyle w:val="Normal"/>
              <w:widowControl w:val="false"/>
              <w:ind w:left="0" w:hanging="0"/>
              <w:jc w:val="center"/>
              <w:rPr>
                <w:rFonts w:ascii="Arial Narrow" w:hAnsi="Arial Narrow" w:cs="Arial"/>
                <w:sz w:val="22"/>
                <w:szCs w:val="22"/>
              </w:rPr>
            </w:pPr>
            <w:r>
              <w:rPr>
                <w:rFonts w:cs="Arial" w:ascii="Arial Narrow" w:hAnsi="Arial Narrow"/>
                <w:sz w:val="22"/>
                <w:szCs w:val="22"/>
              </w:rPr>
              <w:t>0,33°</w:t>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80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10</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150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25</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30°</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60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4</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60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10</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45°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16</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2</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30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5</w:t>
            </w:r>
          </w:p>
        </w:tc>
      </w:tr>
      <w:tr>
        <w:trPr>
          <w:trHeight w:val="358" w:hRule="exact"/>
        </w:trPr>
        <w:tc>
          <w:tcPr>
            <w:tcW w:w="141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0,50°</w:t>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50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7</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110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20</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30°</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20</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3</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60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0" w:right="110" w:hanging="0"/>
              <w:jc w:val="center"/>
              <w:rPr>
                <w:rFonts w:ascii="Arial Narrow" w:hAnsi="Arial Narrow" w:cs="Arial"/>
                <w:sz w:val="22"/>
                <w:szCs w:val="22"/>
              </w:rPr>
            </w:pPr>
            <w:r>
              <w:rPr>
                <w:rFonts w:cs="Arial" w:ascii="Arial Narrow" w:hAnsi="Arial Narrow"/>
                <w:sz w:val="22"/>
                <w:szCs w:val="22"/>
              </w:rPr>
              <w:t>10</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45°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9</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112" w:right="110" w:hanging="0"/>
              <w:jc w:val="center"/>
              <w:rPr>
                <w:rFonts w:ascii="Arial Narrow" w:hAnsi="Arial Narrow" w:cs="Arial"/>
                <w:sz w:val="22"/>
                <w:szCs w:val="22"/>
              </w:rPr>
            </w:pPr>
            <w:r>
              <w:rPr>
                <w:rFonts w:cs="Arial" w:ascii="Arial Narrow" w:hAnsi="Arial Narrow"/>
                <w:sz w:val="22"/>
                <w:szCs w:val="22"/>
              </w:rPr>
              <w:t>1,3</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94" w:right="194" w:hanging="0"/>
              <w:jc w:val="center"/>
              <w:rPr>
                <w:rFonts w:ascii="Arial Narrow" w:hAnsi="Arial Narrow" w:cs="Arial"/>
                <w:sz w:val="22"/>
                <w:szCs w:val="22"/>
              </w:rPr>
            </w:pPr>
            <w:r>
              <w:rPr>
                <w:rFonts w:cs="Arial" w:ascii="Arial Narrow" w:hAnsi="Arial Narrow"/>
                <w:sz w:val="22"/>
                <w:szCs w:val="22"/>
              </w:rPr>
              <w:t>20</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112" w:right="110" w:hanging="0"/>
              <w:jc w:val="center"/>
              <w:rPr>
                <w:rFonts w:ascii="Arial Narrow" w:hAnsi="Arial Narrow" w:cs="Arial"/>
                <w:sz w:val="22"/>
                <w:szCs w:val="22"/>
              </w:rPr>
            </w:pPr>
            <w:r>
              <w:rPr>
                <w:rFonts w:cs="Arial" w:ascii="Arial Narrow" w:hAnsi="Arial Narrow"/>
                <w:sz w:val="22"/>
                <w:szCs w:val="22"/>
              </w:rPr>
              <w:t>3,6</w:t>
            </w:r>
          </w:p>
        </w:tc>
      </w:tr>
      <w:tr>
        <w:trPr>
          <w:trHeight w:val="358" w:hRule="exact"/>
        </w:trPr>
        <w:tc>
          <w:tcPr>
            <w:tcW w:w="141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1,00°</w:t>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8</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1</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9</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2,5</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30°</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6</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0" w:right="-45" w:hanging="0"/>
              <w:jc w:val="center"/>
              <w:rPr>
                <w:rFonts w:ascii="Arial Narrow" w:hAnsi="Arial Narrow" w:cs="Arial"/>
                <w:sz w:val="22"/>
                <w:szCs w:val="22"/>
              </w:rPr>
            </w:pPr>
            <w:r>
              <w:rPr>
                <w:rFonts w:cs="Arial" w:ascii="Arial Narrow" w:hAnsi="Arial Narrow"/>
                <w:sz w:val="22"/>
                <w:szCs w:val="22"/>
              </w:rPr>
              <w:t>0,75</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6</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1</w:t>
            </w:r>
          </w:p>
        </w:tc>
      </w:tr>
      <w:tr>
        <w:trPr>
          <w:trHeight w:val="358" w:hRule="exact"/>
        </w:trPr>
        <w:tc>
          <w:tcPr>
            <w:tcW w:w="141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4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76" w:right="376" w:hanging="0"/>
              <w:jc w:val="center"/>
              <w:rPr>
                <w:rFonts w:ascii="Arial Narrow" w:hAnsi="Arial Narrow" w:cs="Arial"/>
                <w:sz w:val="22"/>
                <w:szCs w:val="22"/>
              </w:rPr>
            </w:pPr>
            <w:r>
              <w:rPr>
                <w:rFonts w:cs="Arial" w:ascii="Arial Narrow" w:hAnsi="Arial Narrow"/>
                <w:sz w:val="22"/>
                <w:szCs w:val="22"/>
              </w:rPr>
              <w:t>45°</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2</w:t>
            </w:r>
          </w:p>
        </w:tc>
        <w:tc>
          <w:tcPr>
            <w:tcW w:w="1367"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auto" w:val="clear"/>
            <w:vAlign w:val="center"/>
          </w:tcPr>
          <w:p>
            <w:pPr>
              <w:pStyle w:val="Normal"/>
              <w:widowControl w:val="false"/>
              <w:ind w:left="3" w:hanging="0"/>
              <w:jc w:val="center"/>
              <w:rPr>
                <w:rFonts w:ascii="Arial Narrow" w:hAnsi="Arial Narrow" w:cs="Arial"/>
                <w:sz w:val="22"/>
                <w:szCs w:val="22"/>
              </w:rPr>
            </w:pPr>
            <w:r>
              <w:rPr>
                <w:rFonts w:cs="Arial" w:ascii="Arial Narrow" w:hAnsi="Arial Narrow"/>
                <w:w w:val="99"/>
                <w:sz w:val="22"/>
                <w:szCs w:val="22"/>
              </w:rPr>
              <w:t>-</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3</w:t>
            </w:r>
          </w:p>
        </w:tc>
        <w:tc>
          <w:tcPr>
            <w:tcW w:w="12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w:t>
            </w:r>
          </w:p>
        </w:tc>
      </w:tr>
      <w:tr>
        <w:trPr>
          <w:trHeight w:val="610" w:hRule="exact"/>
        </w:trPr>
        <w:tc>
          <w:tcPr>
            <w:tcW w:w="2834"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 w:hanging="0"/>
              <w:jc w:val="center"/>
              <w:rPr>
                <w:rFonts w:ascii="Arial Narrow" w:hAnsi="Arial Narrow" w:cs="Arial"/>
                <w:sz w:val="22"/>
                <w:szCs w:val="22"/>
              </w:rPr>
            </w:pPr>
            <w:r>
              <w:rPr>
                <w:rFonts w:cs="Arial" w:ascii="Arial Narrow" w:hAnsi="Arial Narrow"/>
                <w:sz w:val="22"/>
                <w:szCs w:val="22"/>
              </w:rPr>
              <w:t>Dopuszczalne zmniejszenie wartości w okresie gwarantowanej trwałości</w:t>
            </w:r>
          </w:p>
        </w:tc>
        <w:tc>
          <w:tcPr>
            <w:tcW w:w="15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0" w:hanging="0"/>
              <w:jc w:val="center"/>
              <w:rPr>
                <w:rFonts w:ascii="Arial Narrow" w:hAnsi="Arial Narrow" w:cs="Arial"/>
                <w:sz w:val="22"/>
                <w:szCs w:val="22"/>
              </w:rPr>
            </w:pPr>
            <w:r>
              <w:rPr>
                <w:rFonts w:cs="Arial" w:ascii="Arial Narrow" w:hAnsi="Arial Narrow"/>
                <w:sz w:val="22"/>
                <w:szCs w:val="22"/>
              </w:rPr>
              <w:t>50%</w:t>
            </w:r>
          </w:p>
        </w:tc>
        <w:tc>
          <w:tcPr>
            <w:tcW w:w="136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 w:hanging="0"/>
              <w:jc w:val="center"/>
              <w:rPr>
                <w:rFonts w:ascii="Arial Narrow" w:hAnsi="Arial Narrow" w:cs="Arial"/>
                <w:sz w:val="22"/>
                <w:szCs w:val="22"/>
              </w:rPr>
            </w:pPr>
            <w:r>
              <w:rPr>
                <w:rFonts w:cs="Arial" w:ascii="Arial Narrow" w:hAnsi="Arial Narrow"/>
                <w:sz w:val="22"/>
                <w:szCs w:val="22"/>
              </w:rPr>
              <w:t>20%</w:t>
            </w:r>
          </w:p>
        </w:tc>
        <w:tc>
          <w:tcPr>
            <w:tcW w:w="1277" w:type="dxa"/>
            <w:tcBorders>
              <w:top w:val="single" w:sz="4"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 w:hanging="0"/>
              <w:jc w:val="center"/>
              <w:rPr>
                <w:rFonts w:ascii="Arial Narrow" w:hAnsi="Arial Narrow" w:cs="Arial"/>
                <w:sz w:val="22"/>
                <w:szCs w:val="22"/>
              </w:rPr>
            </w:pPr>
            <w:r>
              <w:rPr>
                <w:rFonts w:cs="Arial" w:ascii="Arial Narrow" w:hAnsi="Arial Narrow"/>
                <w:sz w:val="22"/>
                <w:szCs w:val="22"/>
              </w:rPr>
              <w:t>20%</w:t>
            </w:r>
          </w:p>
        </w:tc>
        <w:tc>
          <w:tcPr>
            <w:tcW w:w="1219" w:type="dxa"/>
            <w:tcBorders>
              <w:top w:val="single" w:sz="4"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ind w:left="3" w:hanging="0"/>
              <w:jc w:val="center"/>
              <w:rPr>
                <w:rFonts w:ascii="Arial Narrow" w:hAnsi="Arial Narrow" w:cs="Arial"/>
                <w:sz w:val="22"/>
                <w:szCs w:val="22"/>
              </w:rPr>
            </w:pPr>
            <w:r>
              <w:rPr>
                <w:rFonts w:cs="Arial" w:ascii="Arial Narrow" w:hAnsi="Arial Narrow"/>
                <w:sz w:val="22"/>
                <w:szCs w:val="22"/>
              </w:rPr>
              <w:t>20%</w:t>
            </w:r>
          </w:p>
        </w:tc>
      </w:tr>
    </w:tbl>
    <w:p>
      <w:pPr>
        <w:pStyle w:val="ListParagraph"/>
        <w:numPr>
          <w:ilvl w:val="2"/>
          <w:numId w:val="2"/>
        </w:numPr>
        <w:tabs>
          <w:tab w:val="left" w:pos="360" w:leader="none"/>
        </w:tabs>
        <w:spacing w:before="120" w:after="120"/>
        <w:rPr>
          <w:rFonts w:ascii="Arial Narrow" w:hAnsi="Arial Narrow" w:cs="Arial"/>
          <w:sz w:val="22"/>
          <w:szCs w:val="22"/>
        </w:rPr>
      </w:pPr>
      <w:r>
        <w:rPr>
          <w:rFonts w:cs="Arial" w:ascii="Arial Narrow" w:hAnsi="Arial Narrow"/>
          <w:sz w:val="22"/>
          <w:szCs w:val="22"/>
          <w:u w:val="single"/>
        </w:rPr>
        <w:t xml:space="preserve">Barwa i współczynnik luminancji </w:t>
      </w:r>
      <w:r>
        <w:rPr>
          <w:rFonts w:eastAsia="Symbol" w:cs="Symbol" w:ascii="Symbol" w:hAnsi="Symbol"/>
          <w:sz w:val="22"/>
          <w:szCs w:val="22"/>
          <w:u w:val="single"/>
        </w:rPr>
        <w:t></w:t>
      </w:r>
      <w:r>
        <w:rPr>
          <w:rFonts w:cs="Arial" w:ascii="Arial Narrow" w:hAnsi="Arial Narrow"/>
          <w:sz w:val="22"/>
          <w:szCs w:val="22"/>
        </w:rPr>
        <w:t xml:space="preserve"> (Metoda badań zgodna z CIE 15:2004 - źródło światła D</w:t>
      </w:r>
      <w:r>
        <w:rPr>
          <w:rFonts w:cs="Arial" w:ascii="Arial Narrow" w:hAnsi="Arial Narrow"/>
          <w:sz w:val="22"/>
          <w:szCs w:val="22"/>
          <w:vertAlign w:val="subscript"/>
        </w:rPr>
        <w:t>65</w:t>
      </w:r>
      <w:r>
        <w:rPr>
          <w:rFonts w:cs="Arial" w:ascii="Arial Narrow" w:hAnsi="Arial Narrow"/>
          <w:sz w:val="22"/>
          <w:szCs w:val="22"/>
        </w:rPr>
        <w:t>, obserwator normalny CIE 2°, geometria pomiaru 45a/0. Wynikiem końcowym jest wartość średnia z 3 pomiarów)</w:t>
      </w:r>
    </w:p>
    <w:tbl>
      <w:tblPr>
        <w:tblW w:w="8364" w:type="dxa"/>
        <w:jc w:val="left"/>
        <w:tblInd w:w="127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0" w:type="dxa"/>
          <w:bottom w:w="0" w:type="dxa"/>
          <w:right w:w="2" w:type="dxa"/>
        </w:tblCellMar>
        <w:tblLook w:firstRow="1" w:noVBand="1" w:lastRow="0" w:firstColumn="1" w:lastColumn="0" w:noHBand="0" w:val="04a0"/>
      </w:tblPr>
      <w:tblGrid>
        <w:gridCol w:w="1559"/>
        <w:gridCol w:w="1135"/>
        <w:gridCol w:w="706"/>
        <w:gridCol w:w="710"/>
        <w:gridCol w:w="711"/>
        <w:gridCol w:w="706"/>
        <w:gridCol w:w="710"/>
        <w:gridCol w:w="710"/>
        <w:gridCol w:w="706"/>
        <w:gridCol w:w="710"/>
      </w:tblGrid>
      <w:tr>
        <w:trPr>
          <w:trHeight w:val="770" w:hRule="exact"/>
        </w:trPr>
        <w:tc>
          <w:tcPr>
            <w:tcW w:w="1559"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68" w:before="227" w:after="0"/>
              <w:ind w:left="105" w:right="161" w:hanging="0"/>
              <w:jc w:val="center"/>
              <w:rPr>
                <w:rFonts w:ascii="Arial Narrow" w:hAnsi="Arial Narrow" w:cs="Arial"/>
                <w:sz w:val="22"/>
                <w:szCs w:val="22"/>
              </w:rPr>
            </w:pPr>
            <w:r>
              <w:rPr>
                <w:rFonts w:cs="Arial" w:ascii="Arial Narrow" w:hAnsi="Arial Narrow"/>
                <w:sz w:val="22"/>
                <w:szCs w:val="22"/>
              </w:rPr>
              <w:t>Barwa</w:t>
            </w:r>
          </w:p>
        </w:tc>
        <w:tc>
          <w:tcPr>
            <w:tcW w:w="6804" w:type="dxa"/>
            <w:gridSpan w:val="9"/>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065" w:right="2061" w:hanging="0"/>
              <w:jc w:val="center"/>
              <w:rPr>
                <w:rFonts w:ascii="Arial Narrow" w:hAnsi="Arial Narrow" w:cs="Arial"/>
                <w:sz w:val="22"/>
                <w:szCs w:val="22"/>
              </w:rPr>
            </w:pPr>
            <w:r>
              <w:rPr>
                <w:rFonts w:cs="Arial" w:ascii="Arial Narrow" w:hAnsi="Arial Narrow"/>
                <w:sz w:val="22"/>
                <w:szCs w:val="22"/>
              </w:rPr>
              <w:t>Współrzędne trójchromatyczne</w:t>
            </w:r>
          </w:p>
          <w:p>
            <w:pPr>
              <w:pStyle w:val="Normal"/>
              <w:widowControl w:val="false"/>
              <w:spacing w:lineRule="exact" w:line="270"/>
              <w:ind w:left="0" w:right="138" w:hanging="0"/>
              <w:jc w:val="center"/>
              <w:rPr>
                <w:rFonts w:ascii="Arial Narrow" w:hAnsi="Arial Narrow" w:cs="Arial"/>
                <w:sz w:val="22"/>
                <w:szCs w:val="22"/>
              </w:rPr>
            </w:pPr>
            <w:r>
              <w:rPr>
                <w:rFonts w:cs="Arial" w:ascii="Arial Narrow" w:hAnsi="Arial Narrow"/>
                <w:sz w:val="22"/>
                <w:szCs w:val="22"/>
              </w:rPr>
              <w:t>(Iluminant D</w:t>
            </w:r>
            <w:r>
              <w:rPr>
                <w:rFonts w:cs="Arial" w:ascii="Arial Narrow" w:hAnsi="Arial Narrow"/>
                <w:sz w:val="22"/>
                <w:szCs w:val="22"/>
                <w:vertAlign w:val="subscript"/>
              </w:rPr>
              <w:t>65</w:t>
            </w:r>
            <w:r>
              <w:rPr>
                <w:rFonts w:cs="Arial" w:ascii="Arial Narrow" w:hAnsi="Arial Narrow"/>
                <w:sz w:val="22"/>
                <w:szCs w:val="22"/>
              </w:rPr>
              <w:t>, obserwator CIE 2°, geometria pomiaru 45/0)</w:t>
            </w:r>
          </w:p>
        </w:tc>
      </w:tr>
      <w:tr>
        <w:trPr>
          <w:trHeight w:val="358" w:hRule="exact"/>
        </w:trPr>
        <w:tc>
          <w:tcPr>
            <w:tcW w:w="1559"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135"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 w:hanging="0"/>
              <w:jc w:val="center"/>
              <w:rPr>
                <w:rFonts w:ascii="Arial Narrow" w:hAnsi="Arial Narrow" w:cs="Arial"/>
                <w:sz w:val="22"/>
                <w:szCs w:val="22"/>
              </w:rPr>
            </w:pPr>
            <w:r>
              <w:rPr>
                <w:rFonts w:cs="Arial" w:ascii="Arial Narrow" w:hAnsi="Arial Narrow"/>
                <w:sz w:val="22"/>
                <w:szCs w:val="22"/>
              </w:rPr>
              <w:t>Współczynnik luminancji</w:t>
            </w:r>
          </w:p>
        </w:tc>
        <w:tc>
          <w:tcPr>
            <w:tcW w:w="1416"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 w:hanging="0"/>
              <w:jc w:val="center"/>
              <w:rPr>
                <w:rFonts w:ascii="Arial Narrow" w:hAnsi="Arial Narrow" w:cs="Arial"/>
                <w:sz w:val="22"/>
                <w:szCs w:val="22"/>
              </w:rPr>
            </w:pPr>
            <w:r>
              <w:rPr>
                <w:rFonts w:cs="Arial" w:ascii="Arial Narrow" w:hAnsi="Arial Narrow"/>
                <w:sz w:val="22"/>
                <w:szCs w:val="22"/>
              </w:rPr>
              <w:t>1</w:t>
            </w:r>
          </w:p>
        </w:tc>
        <w:tc>
          <w:tcPr>
            <w:tcW w:w="1417"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2</w:t>
            </w:r>
          </w:p>
        </w:tc>
        <w:tc>
          <w:tcPr>
            <w:tcW w:w="1420"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3</w:t>
            </w:r>
          </w:p>
        </w:tc>
        <w:tc>
          <w:tcPr>
            <w:tcW w:w="1416"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4</w:t>
            </w:r>
          </w:p>
        </w:tc>
      </w:tr>
      <w:tr>
        <w:trPr>
          <w:trHeight w:val="358" w:hRule="exact"/>
        </w:trPr>
        <w:tc>
          <w:tcPr>
            <w:tcW w:w="1559"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1135"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ind w:left="0" w:hanging="0"/>
              <w:jc w:val="left"/>
              <w:rPr>
                <w:rFonts w:ascii="Arial Narrow" w:hAnsi="Arial Narrow" w:cs="Arial"/>
                <w:sz w:val="22"/>
                <w:szCs w:val="22"/>
              </w:rPr>
            </w:pPr>
            <w:r>
              <w:rPr>
                <w:rFonts w:cs="Arial" w:ascii="Arial Narrow" w:hAnsi="Arial Narrow"/>
                <w:sz w:val="22"/>
                <w:szCs w:val="22"/>
              </w:rPr>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x</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4" w:hanging="0"/>
              <w:jc w:val="center"/>
              <w:rPr>
                <w:rFonts w:ascii="Arial Narrow" w:hAnsi="Arial Narrow" w:cs="Arial"/>
                <w:sz w:val="22"/>
                <w:szCs w:val="22"/>
              </w:rPr>
            </w:pPr>
            <w:r>
              <w:rPr>
                <w:rFonts w:cs="Arial" w:ascii="Arial Narrow" w:hAnsi="Arial Narrow"/>
                <w:sz w:val="22"/>
                <w:szCs w:val="22"/>
              </w:rPr>
              <w:t>y</w:t>
            </w:r>
          </w:p>
        </w:tc>
        <w:tc>
          <w:tcPr>
            <w:tcW w:w="71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 w:hanging="0"/>
              <w:jc w:val="center"/>
              <w:rPr>
                <w:rFonts w:ascii="Arial Narrow" w:hAnsi="Arial Narrow" w:cs="Arial"/>
                <w:sz w:val="22"/>
                <w:szCs w:val="22"/>
              </w:rPr>
            </w:pPr>
            <w:r>
              <w:rPr>
                <w:rFonts w:cs="Arial" w:ascii="Arial Narrow" w:hAnsi="Arial Narrow"/>
                <w:sz w:val="22"/>
                <w:szCs w:val="22"/>
              </w:rPr>
              <w:t>x</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4" w:hanging="0"/>
              <w:jc w:val="center"/>
              <w:rPr>
                <w:rFonts w:ascii="Arial Narrow" w:hAnsi="Arial Narrow" w:cs="Arial"/>
                <w:sz w:val="22"/>
                <w:szCs w:val="22"/>
              </w:rPr>
            </w:pPr>
            <w:r>
              <w:rPr>
                <w:rFonts w:cs="Arial" w:ascii="Arial Narrow" w:hAnsi="Arial Narrow"/>
                <w:sz w:val="22"/>
                <w:szCs w:val="22"/>
              </w:rPr>
              <w:t>y</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 w:hanging="0"/>
              <w:jc w:val="center"/>
              <w:rPr>
                <w:rFonts w:ascii="Arial Narrow" w:hAnsi="Arial Narrow" w:cs="Arial"/>
                <w:sz w:val="22"/>
                <w:szCs w:val="22"/>
              </w:rPr>
            </w:pPr>
            <w:r>
              <w:rPr>
                <w:rFonts w:cs="Arial" w:ascii="Arial Narrow" w:hAnsi="Arial Narrow"/>
                <w:sz w:val="22"/>
                <w:szCs w:val="22"/>
              </w:rPr>
              <w:t>x</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4" w:hanging="0"/>
              <w:jc w:val="center"/>
              <w:rPr>
                <w:rFonts w:ascii="Arial Narrow" w:hAnsi="Arial Narrow" w:cs="Arial"/>
                <w:sz w:val="22"/>
                <w:szCs w:val="22"/>
              </w:rPr>
            </w:pPr>
            <w:r>
              <w:rPr>
                <w:rFonts w:cs="Arial" w:ascii="Arial Narrow" w:hAnsi="Arial Narrow"/>
                <w:sz w:val="22"/>
                <w:szCs w:val="22"/>
              </w:rPr>
              <w:t>y</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2" w:hanging="0"/>
              <w:jc w:val="center"/>
              <w:rPr>
                <w:rFonts w:ascii="Arial Narrow" w:hAnsi="Arial Narrow" w:cs="Arial"/>
                <w:sz w:val="22"/>
                <w:szCs w:val="22"/>
              </w:rPr>
            </w:pPr>
            <w:r>
              <w:rPr>
                <w:rFonts w:cs="Arial" w:ascii="Arial Narrow" w:hAnsi="Arial Narrow"/>
                <w:sz w:val="22"/>
                <w:szCs w:val="22"/>
              </w:rPr>
              <w:t>x</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4" w:hanging="0"/>
              <w:jc w:val="center"/>
              <w:rPr>
                <w:rFonts w:ascii="Arial Narrow" w:hAnsi="Arial Narrow" w:cs="Arial"/>
                <w:sz w:val="22"/>
                <w:szCs w:val="22"/>
              </w:rPr>
            </w:pPr>
            <w:r>
              <w:rPr>
                <w:rFonts w:cs="Arial" w:ascii="Arial Narrow" w:hAnsi="Arial Narrow"/>
                <w:sz w:val="22"/>
                <w:szCs w:val="22"/>
              </w:rPr>
              <w:t>y</w:t>
            </w:r>
          </w:p>
        </w:tc>
      </w:tr>
      <w:tr>
        <w:trPr>
          <w:trHeight w:val="626" w:hRule="exact"/>
        </w:trPr>
        <w:tc>
          <w:tcPr>
            <w:tcW w:w="15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67"/>
              <w:ind w:left="113" w:right="110" w:hanging="0"/>
              <w:jc w:val="center"/>
              <w:rPr>
                <w:rFonts w:ascii="Arial Narrow" w:hAnsi="Arial Narrow" w:cs="Arial"/>
                <w:sz w:val="22"/>
                <w:szCs w:val="22"/>
              </w:rPr>
            </w:pPr>
            <w:r>
              <w:rPr>
                <w:rFonts w:cs="Arial" w:ascii="Arial Narrow" w:hAnsi="Arial Narrow"/>
                <w:sz w:val="22"/>
                <w:szCs w:val="22"/>
              </w:rPr>
              <w:t>Fluorescencyjny</w:t>
            </w:r>
          </w:p>
          <w:p>
            <w:pPr>
              <w:pStyle w:val="Normal"/>
              <w:widowControl w:val="false"/>
              <w:spacing w:lineRule="exact" w:line="268" w:before="4" w:after="0"/>
              <w:ind w:left="105" w:right="321" w:hanging="0"/>
              <w:jc w:val="center"/>
              <w:rPr>
                <w:rFonts w:ascii="Arial Narrow" w:hAnsi="Arial Narrow" w:cs="Arial"/>
                <w:sz w:val="22"/>
                <w:szCs w:val="22"/>
              </w:rPr>
            </w:pPr>
            <w:r>
              <w:rPr>
                <w:rFonts w:cs="Arial" w:ascii="Arial Narrow" w:hAnsi="Arial Narrow"/>
                <w:sz w:val="22"/>
                <w:szCs w:val="22"/>
              </w:rPr>
              <w:t>Żółto-zielony</w:t>
            </w:r>
          </w:p>
        </w:tc>
        <w:tc>
          <w:tcPr>
            <w:tcW w:w="113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 xml:space="preserve">≥ </w:t>
            </w:r>
            <w:r>
              <w:rPr>
                <w:rFonts w:cs="Arial" w:ascii="Arial Narrow" w:hAnsi="Arial Narrow"/>
                <w:sz w:val="22"/>
                <w:szCs w:val="22"/>
              </w:rPr>
              <w:t>0,45</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6" w:right="84" w:hanging="0"/>
              <w:jc w:val="center"/>
              <w:rPr>
                <w:rFonts w:ascii="Arial Narrow" w:hAnsi="Arial Narrow" w:cs="Arial"/>
                <w:sz w:val="22"/>
                <w:szCs w:val="22"/>
              </w:rPr>
            </w:pPr>
            <w:r>
              <w:rPr>
                <w:rFonts w:cs="Arial" w:ascii="Arial Narrow" w:hAnsi="Arial Narrow"/>
                <w:sz w:val="22"/>
                <w:szCs w:val="22"/>
              </w:rPr>
              <w:t>0,375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6" w:right="84" w:hanging="0"/>
              <w:jc w:val="center"/>
              <w:rPr>
                <w:rFonts w:ascii="Arial Narrow" w:hAnsi="Arial Narrow" w:cs="Arial"/>
                <w:sz w:val="22"/>
                <w:szCs w:val="22"/>
              </w:rPr>
            </w:pPr>
            <w:r>
              <w:rPr>
                <w:rFonts w:cs="Arial" w:ascii="Arial Narrow" w:hAnsi="Arial Narrow"/>
                <w:sz w:val="22"/>
                <w:szCs w:val="22"/>
              </w:rPr>
              <w:t>0,620</w:t>
            </w:r>
          </w:p>
        </w:tc>
        <w:tc>
          <w:tcPr>
            <w:tcW w:w="71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7" w:right="87" w:hanging="0"/>
              <w:jc w:val="center"/>
              <w:rPr>
                <w:rFonts w:ascii="Arial Narrow" w:hAnsi="Arial Narrow" w:cs="Arial"/>
                <w:sz w:val="22"/>
                <w:szCs w:val="22"/>
              </w:rPr>
            </w:pPr>
            <w:r>
              <w:rPr>
                <w:rFonts w:cs="Arial" w:ascii="Arial Narrow" w:hAnsi="Arial Narrow"/>
                <w:sz w:val="22"/>
                <w:szCs w:val="22"/>
              </w:rPr>
              <w:t>0,460</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6" w:right="84" w:hanging="0"/>
              <w:jc w:val="center"/>
              <w:rPr>
                <w:rFonts w:ascii="Arial Narrow" w:hAnsi="Arial Narrow" w:cs="Arial"/>
                <w:sz w:val="22"/>
                <w:szCs w:val="22"/>
              </w:rPr>
            </w:pPr>
            <w:r>
              <w:rPr>
                <w:rFonts w:cs="Arial" w:ascii="Arial Narrow" w:hAnsi="Arial Narrow"/>
                <w:sz w:val="22"/>
                <w:szCs w:val="22"/>
              </w:rPr>
              <w:t>0,532</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7" w:right="87" w:hanging="0"/>
              <w:jc w:val="center"/>
              <w:rPr>
                <w:rFonts w:ascii="Arial Narrow" w:hAnsi="Arial Narrow" w:cs="Arial"/>
                <w:sz w:val="22"/>
                <w:szCs w:val="22"/>
              </w:rPr>
            </w:pPr>
            <w:r>
              <w:rPr>
                <w:rFonts w:cs="Arial" w:ascii="Arial Narrow" w:hAnsi="Arial Narrow"/>
                <w:sz w:val="22"/>
                <w:szCs w:val="22"/>
              </w:rPr>
              <w:t>0,398</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6" w:right="84" w:hanging="0"/>
              <w:jc w:val="center"/>
              <w:rPr>
                <w:rFonts w:ascii="Arial Narrow" w:hAnsi="Arial Narrow" w:cs="Arial"/>
                <w:sz w:val="22"/>
                <w:szCs w:val="22"/>
              </w:rPr>
            </w:pPr>
            <w:r>
              <w:rPr>
                <w:rFonts w:cs="Arial" w:ascii="Arial Narrow" w:hAnsi="Arial Narrow"/>
                <w:sz w:val="22"/>
                <w:szCs w:val="22"/>
              </w:rPr>
              <w:t>0,450</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7" w:right="87" w:hanging="0"/>
              <w:jc w:val="center"/>
              <w:rPr>
                <w:rFonts w:ascii="Arial Narrow" w:hAnsi="Arial Narrow" w:cs="Arial"/>
                <w:sz w:val="22"/>
                <w:szCs w:val="22"/>
              </w:rPr>
            </w:pPr>
            <w:r>
              <w:rPr>
                <w:rFonts w:cs="Arial" w:ascii="Arial Narrow" w:hAnsi="Arial Narrow"/>
                <w:sz w:val="22"/>
                <w:szCs w:val="22"/>
              </w:rPr>
              <w:t>0,350</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before="128" w:after="0"/>
              <w:ind w:left="86" w:right="84" w:hanging="0"/>
              <w:jc w:val="center"/>
              <w:rPr>
                <w:rFonts w:ascii="Arial Narrow" w:hAnsi="Arial Narrow" w:cs="Arial"/>
                <w:sz w:val="22"/>
                <w:szCs w:val="22"/>
              </w:rPr>
            </w:pPr>
            <w:r>
              <w:rPr>
                <w:rFonts w:cs="Arial" w:ascii="Arial Narrow" w:hAnsi="Arial Narrow"/>
                <w:sz w:val="22"/>
                <w:szCs w:val="22"/>
              </w:rPr>
              <w:t>0,508</w:t>
            </w:r>
          </w:p>
        </w:tc>
      </w:tr>
      <w:tr>
        <w:trPr>
          <w:trHeight w:val="358" w:hRule="exact"/>
        </w:trPr>
        <w:tc>
          <w:tcPr>
            <w:tcW w:w="15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105" w:hanging="0"/>
              <w:jc w:val="center"/>
              <w:rPr>
                <w:rFonts w:ascii="Arial Narrow" w:hAnsi="Arial Narrow" w:cs="Arial"/>
                <w:sz w:val="22"/>
                <w:szCs w:val="22"/>
              </w:rPr>
            </w:pPr>
            <w:r>
              <w:rPr>
                <w:rFonts w:cs="Arial" w:ascii="Arial Narrow" w:hAnsi="Arial Narrow"/>
                <w:sz w:val="22"/>
                <w:szCs w:val="22"/>
              </w:rPr>
              <w:t>Niebieski</w:t>
            </w:r>
          </w:p>
        </w:tc>
        <w:tc>
          <w:tcPr>
            <w:tcW w:w="113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 xml:space="preserve">≥ </w:t>
            </w:r>
            <w:r>
              <w:rPr>
                <w:rFonts w:cs="Arial" w:ascii="Arial Narrow" w:hAnsi="Arial Narrow"/>
                <w:sz w:val="22"/>
                <w:szCs w:val="22"/>
              </w:rPr>
              <w:t>0,01</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4" w:right="84" w:hanging="0"/>
              <w:jc w:val="center"/>
              <w:rPr>
                <w:rFonts w:ascii="Arial Narrow" w:hAnsi="Arial Narrow" w:cs="Arial"/>
                <w:sz w:val="22"/>
                <w:szCs w:val="22"/>
              </w:rPr>
            </w:pPr>
            <w:r>
              <w:rPr>
                <w:rFonts w:cs="Arial" w:ascii="Arial Narrow" w:hAnsi="Arial Narrow"/>
                <w:sz w:val="22"/>
                <w:szCs w:val="22"/>
              </w:rPr>
              <w:t>0,065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4" w:right="84" w:hanging="0"/>
              <w:jc w:val="center"/>
              <w:rPr>
                <w:rFonts w:ascii="Arial Narrow" w:hAnsi="Arial Narrow" w:cs="Arial"/>
                <w:sz w:val="22"/>
                <w:szCs w:val="22"/>
              </w:rPr>
            </w:pPr>
            <w:r>
              <w:rPr>
                <w:rFonts w:cs="Arial" w:ascii="Arial Narrow" w:hAnsi="Arial Narrow"/>
                <w:sz w:val="22"/>
                <w:szCs w:val="22"/>
              </w:rPr>
              <w:t>0,216</w:t>
            </w:r>
          </w:p>
        </w:tc>
        <w:tc>
          <w:tcPr>
            <w:tcW w:w="71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7" w:hanging="0"/>
              <w:jc w:val="center"/>
              <w:rPr>
                <w:rFonts w:ascii="Arial Narrow" w:hAnsi="Arial Narrow" w:cs="Arial"/>
                <w:sz w:val="22"/>
                <w:szCs w:val="22"/>
              </w:rPr>
            </w:pPr>
            <w:r>
              <w:rPr>
                <w:rFonts w:cs="Arial" w:ascii="Arial Narrow" w:hAnsi="Arial Narrow"/>
                <w:sz w:val="22"/>
                <w:szCs w:val="22"/>
              </w:rPr>
              <w:t>0,190</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4" w:right="84" w:hanging="0"/>
              <w:jc w:val="center"/>
              <w:rPr>
                <w:rFonts w:ascii="Arial Narrow" w:hAnsi="Arial Narrow" w:cs="Arial"/>
                <w:sz w:val="22"/>
                <w:szCs w:val="22"/>
              </w:rPr>
            </w:pPr>
            <w:r>
              <w:rPr>
                <w:rFonts w:cs="Arial" w:ascii="Arial Narrow" w:hAnsi="Arial Narrow"/>
                <w:sz w:val="22"/>
                <w:szCs w:val="22"/>
              </w:rPr>
              <w:t>0,255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7" w:hanging="0"/>
              <w:jc w:val="center"/>
              <w:rPr>
                <w:rFonts w:ascii="Arial Narrow" w:hAnsi="Arial Narrow" w:cs="Arial"/>
                <w:sz w:val="22"/>
                <w:szCs w:val="22"/>
              </w:rPr>
            </w:pPr>
            <w:r>
              <w:rPr>
                <w:rFonts w:cs="Arial" w:ascii="Arial Narrow" w:hAnsi="Arial Narrow"/>
                <w:sz w:val="22"/>
                <w:szCs w:val="22"/>
              </w:rPr>
              <w:t>0,245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5" w:right="84" w:hanging="0"/>
              <w:jc w:val="center"/>
              <w:rPr>
                <w:rFonts w:ascii="Arial Narrow" w:hAnsi="Arial Narrow" w:cs="Arial"/>
                <w:sz w:val="22"/>
                <w:szCs w:val="22"/>
              </w:rPr>
            </w:pPr>
            <w:r>
              <w:rPr>
                <w:rFonts w:cs="Arial" w:ascii="Arial Narrow" w:hAnsi="Arial Narrow"/>
                <w:sz w:val="22"/>
                <w:szCs w:val="22"/>
              </w:rPr>
              <w:t>0,210</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7" w:hanging="0"/>
              <w:jc w:val="center"/>
              <w:rPr>
                <w:rFonts w:ascii="Arial Narrow" w:hAnsi="Arial Narrow" w:cs="Arial"/>
                <w:sz w:val="22"/>
                <w:szCs w:val="22"/>
              </w:rPr>
            </w:pPr>
            <w:r>
              <w:rPr>
                <w:rFonts w:cs="Arial" w:ascii="Arial Narrow" w:hAnsi="Arial Narrow"/>
                <w:sz w:val="22"/>
                <w:szCs w:val="22"/>
              </w:rPr>
              <w:t>0,144</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5" w:right="84" w:hanging="0"/>
              <w:jc w:val="center"/>
              <w:rPr>
                <w:rFonts w:ascii="Arial Narrow" w:hAnsi="Arial Narrow" w:cs="Arial"/>
                <w:sz w:val="22"/>
                <w:szCs w:val="22"/>
              </w:rPr>
            </w:pPr>
            <w:r>
              <w:rPr>
                <w:rFonts w:cs="Arial" w:ascii="Arial Narrow" w:hAnsi="Arial Narrow"/>
                <w:sz w:val="22"/>
                <w:szCs w:val="22"/>
              </w:rPr>
              <w:t>0,030</w:t>
            </w:r>
          </w:p>
        </w:tc>
      </w:tr>
      <w:tr>
        <w:trPr>
          <w:trHeight w:val="358" w:hRule="exact"/>
        </w:trPr>
        <w:tc>
          <w:tcPr>
            <w:tcW w:w="15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105" w:hanging="0"/>
              <w:jc w:val="center"/>
              <w:rPr>
                <w:rFonts w:ascii="Arial Narrow" w:hAnsi="Arial Narrow" w:cs="Arial"/>
                <w:sz w:val="22"/>
                <w:szCs w:val="22"/>
              </w:rPr>
            </w:pPr>
            <w:r>
              <w:rPr>
                <w:rFonts w:cs="Arial" w:ascii="Arial Narrow" w:hAnsi="Arial Narrow"/>
                <w:sz w:val="22"/>
                <w:szCs w:val="22"/>
              </w:rPr>
              <w:t>Biały</w:t>
            </w:r>
          </w:p>
        </w:tc>
        <w:tc>
          <w:tcPr>
            <w:tcW w:w="113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 xml:space="preserve">≥ </w:t>
            </w:r>
            <w:r>
              <w:rPr>
                <w:rFonts w:cs="Arial" w:ascii="Arial Narrow" w:hAnsi="Arial Narrow"/>
                <w:sz w:val="22"/>
                <w:szCs w:val="22"/>
              </w:rPr>
              <w:t>0,17</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0,285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3" w:hanging="0"/>
              <w:jc w:val="center"/>
              <w:rPr>
                <w:rFonts w:ascii="Arial Narrow" w:hAnsi="Arial Narrow" w:cs="Arial"/>
                <w:sz w:val="22"/>
                <w:szCs w:val="22"/>
              </w:rPr>
            </w:pPr>
            <w:r>
              <w:rPr>
                <w:rFonts w:cs="Arial" w:ascii="Arial Narrow" w:hAnsi="Arial Narrow"/>
                <w:sz w:val="22"/>
                <w:szCs w:val="22"/>
              </w:rPr>
              <w:t>0,325</w:t>
            </w:r>
          </w:p>
        </w:tc>
        <w:tc>
          <w:tcPr>
            <w:tcW w:w="71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7" w:hanging="0"/>
              <w:jc w:val="center"/>
              <w:rPr>
                <w:rFonts w:ascii="Arial Narrow" w:hAnsi="Arial Narrow" w:cs="Arial"/>
                <w:sz w:val="22"/>
                <w:szCs w:val="22"/>
              </w:rPr>
            </w:pPr>
            <w:r>
              <w:rPr>
                <w:rFonts w:cs="Arial" w:ascii="Arial Narrow" w:hAnsi="Arial Narrow"/>
                <w:sz w:val="22"/>
                <w:szCs w:val="22"/>
              </w:rPr>
              <w:t>0,335</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3" w:hanging="0"/>
              <w:jc w:val="center"/>
              <w:rPr>
                <w:rFonts w:ascii="Arial Narrow" w:hAnsi="Arial Narrow" w:cs="Arial"/>
                <w:sz w:val="22"/>
                <w:szCs w:val="22"/>
              </w:rPr>
            </w:pPr>
            <w:r>
              <w:rPr>
                <w:rFonts w:cs="Arial" w:ascii="Arial Narrow" w:hAnsi="Arial Narrow"/>
                <w:sz w:val="22"/>
                <w:szCs w:val="22"/>
              </w:rPr>
              <w:t>0,375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6" w:hanging="0"/>
              <w:jc w:val="center"/>
              <w:rPr>
                <w:rFonts w:ascii="Arial Narrow" w:hAnsi="Arial Narrow" w:cs="Arial"/>
                <w:sz w:val="22"/>
                <w:szCs w:val="22"/>
              </w:rPr>
            </w:pPr>
            <w:r>
              <w:rPr>
                <w:rFonts w:cs="Arial" w:ascii="Arial Narrow" w:hAnsi="Arial Narrow"/>
                <w:sz w:val="22"/>
                <w:szCs w:val="22"/>
              </w:rPr>
              <w:t>0,355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3" w:hanging="0"/>
              <w:jc w:val="center"/>
              <w:rPr>
                <w:rFonts w:ascii="Arial Narrow" w:hAnsi="Arial Narrow" w:cs="Arial"/>
                <w:sz w:val="22"/>
                <w:szCs w:val="22"/>
              </w:rPr>
            </w:pPr>
            <w:r>
              <w:rPr>
                <w:rFonts w:cs="Arial" w:ascii="Arial Narrow" w:hAnsi="Arial Narrow"/>
                <w:sz w:val="22"/>
                <w:szCs w:val="22"/>
              </w:rPr>
              <w:t>0,355</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6" w:hanging="0"/>
              <w:jc w:val="center"/>
              <w:rPr>
                <w:rFonts w:ascii="Arial Narrow" w:hAnsi="Arial Narrow" w:cs="Arial"/>
                <w:sz w:val="22"/>
                <w:szCs w:val="22"/>
              </w:rPr>
            </w:pPr>
            <w:r>
              <w:rPr>
                <w:rFonts w:cs="Arial" w:ascii="Arial Narrow" w:hAnsi="Arial Narrow"/>
                <w:sz w:val="22"/>
                <w:szCs w:val="22"/>
              </w:rPr>
              <w:t>0,305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2" w:hanging="0"/>
              <w:jc w:val="center"/>
              <w:rPr>
                <w:rFonts w:ascii="Arial Narrow" w:hAnsi="Arial Narrow" w:cs="Arial"/>
                <w:sz w:val="22"/>
                <w:szCs w:val="22"/>
              </w:rPr>
            </w:pPr>
            <w:r>
              <w:rPr>
                <w:rFonts w:cs="Arial" w:ascii="Arial Narrow" w:hAnsi="Arial Narrow"/>
                <w:sz w:val="22"/>
                <w:szCs w:val="22"/>
              </w:rPr>
              <w:t>0,305</w:t>
            </w:r>
          </w:p>
        </w:tc>
      </w:tr>
      <w:tr>
        <w:trPr>
          <w:trHeight w:val="358" w:hRule="exact"/>
        </w:trPr>
        <w:tc>
          <w:tcPr>
            <w:tcW w:w="15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105" w:hanging="0"/>
              <w:jc w:val="center"/>
              <w:rPr>
                <w:rFonts w:ascii="Arial Narrow" w:hAnsi="Arial Narrow" w:cs="Arial"/>
                <w:sz w:val="22"/>
                <w:szCs w:val="22"/>
              </w:rPr>
            </w:pPr>
            <w:r>
              <w:rPr>
                <w:rFonts w:cs="Arial" w:ascii="Arial Narrow" w:hAnsi="Arial Narrow"/>
                <w:sz w:val="22"/>
                <w:szCs w:val="22"/>
              </w:rPr>
              <w:t>Czerwony</w:t>
            </w:r>
          </w:p>
        </w:tc>
        <w:tc>
          <w:tcPr>
            <w:tcW w:w="113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0" w:hanging="0"/>
              <w:jc w:val="center"/>
              <w:rPr>
                <w:rFonts w:ascii="Arial Narrow" w:hAnsi="Arial Narrow" w:cs="Arial"/>
                <w:sz w:val="22"/>
                <w:szCs w:val="22"/>
              </w:rPr>
            </w:pPr>
            <w:r>
              <w:rPr>
                <w:rFonts w:cs="Arial" w:ascii="Arial Narrow" w:hAnsi="Arial Narrow"/>
                <w:sz w:val="22"/>
                <w:szCs w:val="22"/>
              </w:rPr>
              <w:t xml:space="preserve">≥ </w:t>
            </w:r>
            <w:r>
              <w:rPr>
                <w:rFonts w:cs="Arial" w:ascii="Arial Narrow" w:hAnsi="Arial Narrow"/>
                <w:sz w:val="22"/>
                <w:szCs w:val="22"/>
              </w:rPr>
              <w:t>0,05</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0,550</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0,358</w:t>
            </w:r>
          </w:p>
        </w:tc>
        <w:tc>
          <w:tcPr>
            <w:tcW w:w="71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7" w:hanging="0"/>
              <w:jc w:val="center"/>
              <w:rPr>
                <w:rFonts w:ascii="Arial Narrow" w:hAnsi="Arial Narrow" w:cs="Arial"/>
                <w:sz w:val="22"/>
                <w:szCs w:val="22"/>
              </w:rPr>
            </w:pPr>
            <w:r>
              <w:rPr>
                <w:rFonts w:cs="Arial" w:ascii="Arial Narrow" w:hAnsi="Arial Narrow"/>
                <w:sz w:val="22"/>
                <w:szCs w:val="22"/>
              </w:rPr>
              <w:t>0,640</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0,365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7" w:hanging="0"/>
              <w:jc w:val="center"/>
              <w:rPr>
                <w:rFonts w:ascii="Arial Narrow" w:hAnsi="Arial Narrow" w:cs="Arial"/>
                <w:sz w:val="22"/>
                <w:szCs w:val="22"/>
              </w:rPr>
            </w:pPr>
            <w:r>
              <w:rPr>
                <w:rFonts w:cs="Arial" w:ascii="Arial Narrow" w:hAnsi="Arial Narrow"/>
                <w:sz w:val="22"/>
                <w:szCs w:val="22"/>
              </w:rPr>
              <w:t>0,735</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0,265</w:t>
            </w:r>
          </w:p>
        </w:tc>
        <w:tc>
          <w:tcPr>
            <w:tcW w:w="7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7" w:right="87" w:hanging="0"/>
              <w:jc w:val="center"/>
              <w:rPr>
                <w:rFonts w:ascii="Arial Narrow" w:hAnsi="Arial Narrow" w:cs="Arial"/>
                <w:sz w:val="22"/>
                <w:szCs w:val="22"/>
              </w:rPr>
            </w:pPr>
            <w:r>
              <w:rPr>
                <w:rFonts w:cs="Arial" w:ascii="Arial Narrow" w:hAnsi="Arial Narrow"/>
                <w:sz w:val="22"/>
                <w:szCs w:val="22"/>
              </w:rPr>
              <w:t>0,660</w:t>
            </w:r>
          </w:p>
        </w:tc>
        <w:tc>
          <w:tcPr>
            <w:tcW w:w="71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Normal"/>
              <w:widowControl w:val="false"/>
              <w:spacing w:lineRule="exact" w:line="270"/>
              <w:ind w:left="86" w:right="84" w:hanging="0"/>
              <w:jc w:val="center"/>
              <w:rPr>
                <w:rFonts w:ascii="Arial Narrow" w:hAnsi="Arial Narrow" w:cs="Arial"/>
                <w:sz w:val="22"/>
                <w:szCs w:val="22"/>
              </w:rPr>
            </w:pPr>
            <w:r>
              <w:rPr>
                <w:rFonts w:cs="Arial" w:ascii="Arial Narrow" w:hAnsi="Arial Narrow"/>
                <w:sz w:val="22"/>
                <w:szCs w:val="22"/>
              </w:rPr>
              <w:t>0,233</w:t>
            </w:r>
          </w:p>
        </w:tc>
      </w:tr>
      <w:tr>
        <w:trPr>
          <w:trHeight w:val="500" w:hRule="atLeast"/>
        </w:trPr>
        <w:tc>
          <w:tcPr>
            <w:tcW w:w="8363" w:type="dxa"/>
            <w:gridSpan w:val="10"/>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vAlign w:val="center"/>
          </w:tcPr>
          <w:p>
            <w:pPr>
              <w:pStyle w:val="Normal"/>
              <w:widowControl w:val="false"/>
              <w:spacing w:lineRule="exact" w:line="270"/>
              <w:ind w:left="86" w:right="82" w:hanging="0"/>
              <w:jc w:val="left"/>
              <w:rPr>
                <w:rFonts w:ascii="Arial Narrow" w:hAnsi="Arial Narrow" w:cs="Arial"/>
                <w:sz w:val="22"/>
                <w:szCs w:val="22"/>
              </w:rPr>
            </w:pPr>
            <w:r>
              <w:rPr>
                <w:rFonts w:cs="Arial" w:ascii="Arial Narrow" w:hAnsi="Arial Narrow"/>
                <w:sz w:val="22"/>
                <w:szCs w:val="22"/>
              </w:rPr>
              <w:t>UWAGA: Punkty pola tolerancji leżące na krzywej barw (spectral locus), łączy ta krzywa, a nie linia prosta</w:t>
            </w:r>
          </w:p>
        </w:tc>
      </w:tr>
    </w:tbl>
    <w:p>
      <w:pPr>
        <w:pStyle w:val="Normal"/>
        <w:tabs>
          <w:tab w:val="left" w:pos="-1312" w:leader="none"/>
          <w:tab w:val="left" w:pos="-720" w:leader="none"/>
          <w:tab w:val="left" w:pos="720" w:leader="none"/>
          <w:tab w:val="left" w:pos="1276"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ind w:left="1276" w:hanging="0"/>
        <w:rPr>
          <w:rFonts w:ascii="Arial Narrow" w:hAnsi="Arial Narrow" w:cs="Arial"/>
          <w:sz w:val="22"/>
          <w:szCs w:val="22"/>
        </w:rPr>
      </w:pPr>
      <w:r>
        <w:rPr>
          <w:rFonts w:cs="Arial" w:ascii="Arial Narrow" w:hAnsi="Arial Narrow"/>
          <w:sz w:val="22"/>
          <w:szCs w:val="22"/>
        </w:rPr>
        <w:t xml:space="preserve">Wymagania dla barwy powinny być spełnione w całym okresie eksploatacji pojazdu. </w:t>
      </w:r>
    </w:p>
    <w:p>
      <w:pPr>
        <w:pStyle w:val="Normal"/>
        <w:tabs>
          <w:tab w:val="left" w:pos="-1312" w:leader="none"/>
          <w:tab w:val="left" w:pos="-720" w:leader="none"/>
          <w:tab w:val="left" w:pos="720" w:leader="none"/>
          <w:tab w:val="left" w:pos="1276"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ind w:left="1276" w:hanging="0"/>
        <w:rPr>
          <w:rFonts w:ascii="Arial Narrow" w:hAnsi="Arial Narrow" w:cs="Arial"/>
          <w:sz w:val="22"/>
          <w:szCs w:val="22"/>
        </w:rPr>
      </w:pPr>
      <w:r>
        <w:rPr>
          <w:rFonts w:cs="Arial" w:ascii="Arial Narrow" w:hAnsi="Arial Narrow"/>
          <w:sz w:val="22"/>
          <w:szCs w:val="22"/>
        </w:rPr>
        <w:t>W czasie trwania gwarancji producenta, w przypadku stwierdzenia widocznych zmian barwy lub uszkodzeń powierzchni folii należy wykonać pomiary kontrolne.</w:t>
      </w:r>
    </w:p>
    <w:p>
      <w:pPr>
        <w:pStyle w:val="Normal"/>
        <w:tabs>
          <w:tab w:val="left" w:pos="-1312" w:leader="none"/>
          <w:tab w:val="left" w:pos="-720" w:leader="none"/>
          <w:tab w:val="left" w:pos="720" w:leader="none"/>
          <w:tab w:val="left" w:pos="1276"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ind w:left="1276" w:hanging="0"/>
        <w:rPr>
          <w:rFonts w:ascii="Arial Narrow" w:hAnsi="Arial Narrow" w:cs="Arial"/>
          <w:sz w:val="22"/>
          <w:szCs w:val="22"/>
        </w:rPr>
      </w:pPr>
      <w:r>
        <w:rPr>
          <w:rFonts w:cs="Arial" w:ascii="Arial Narrow" w:hAnsi="Arial Narrow"/>
          <w:sz w:val="22"/>
          <w:szCs w:val="22"/>
        </w:rPr>
      </w:r>
    </w:p>
    <w:p>
      <w:pPr>
        <w:pStyle w:val="ListParagraph"/>
        <w:numPr>
          <w:ilvl w:val="1"/>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rPr>
      </w:pPr>
      <w:r>
        <w:rPr>
          <w:rFonts w:cs="Arial" w:ascii="Arial Narrow" w:hAnsi="Arial Narrow"/>
          <w:b/>
          <w:sz w:val="22"/>
          <w:szCs w:val="22"/>
        </w:rPr>
        <w:t xml:space="preserve">Zakres badań narażeniowych </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rPr>
      </w:pPr>
      <w:r>
        <w:rPr>
          <w:rFonts w:cs="Arial" w:ascii="Arial Narrow" w:hAnsi="Arial Narrow"/>
          <w:sz w:val="22"/>
          <w:szCs w:val="22"/>
        </w:rPr>
        <w:t>Do badań folii odblaskowych danej barwy należy dostarczyć próbki folii naklejonych na płaskie lakierowane podłoże z blachy stalowej (typowe materiały stosowane do produkcji nadwozia pojazdów):</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rPr>
      </w:pPr>
      <w:r>
        <w:rPr>
          <w:rFonts w:cs="Arial" w:ascii="Arial Narrow" w:hAnsi="Arial Narrow"/>
          <w:sz w:val="22"/>
          <w:szCs w:val="22"/>
        </w:rPr>
        <w:t>9 szt. próbek o wymiarach 10cm x 10cm,</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rPr>
      </w:pPr>
      <w:r>
        <w:rPr>
          <w:rFonts w:cs="Arial" w:ascii="Arial Narrow" w:hAnsi="Arial Narrow"/>
          <w:sz w:val="22"/>
          <w:szCs w:val="22"/>
        </w:rPr>
        <w:t xml:space="preserve">3 szt. o wymiarach 10cm x 2,5cm, </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rPr>
      </w:pPr>
      <w:r>
        <w:rPr>
          <w:rFonts w:cs="Arial" w:ascii="Arial Narrow" w:hAnsi="Arial Narrow"/>
          <w:sz w:val="22"/>
          <w:szCs w:val="22"/>
        </w:rPr>
        <w:t>1 szt. o wymiarach 12cm x 12cm przygotowaną wg pkt 10.3.10.2 do badania penetracji krawędzi.</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ind w:left="1276" w:hanging="0"/>
        <w:contextualSpacing/>
        <w:jc w:val="both"/>
        <w:rPr>
          <w:rFonts w:ascii="Arial Narrow" w:hAnsi="Arial Narrow" w:cs="Arial"/>
          <w:sz w:val="22"/>
          <w:szCs w:val="22"/>
        </w:rPr>
      </w:pPr>
      <w:r>
        <w:rPr>
          <w:rFonts w:cs="Arial" w:ascii="Arial Narrow" w:hAnsi="Arial Narrow"/>
          <w:sz w:val="22"/>
          <w:szCs w:val="22"/>
        </w:rPr>
        <w:t xml:space="preserve">Wyniki pomiarów współczynnika odblasku po narażeniu, w geometrii ograniczonej </w:t>
      </w:r>
      <w:r>
        <w:rPr>
          <w:rFonts w:eastAsia="Symbol" w:cs="Symbol" w:ascii="Symbol" w:hAnsi="Symbol"/>
          <w:sz w:val="22"/>
          <w:szCs w:val="22"/>
        </w:rPr>
        <w:t></w:t>
      </w:r>
      <w:r>
        <w:rPr>
          <w:rFonts w:cs="Arial" w:ascii="Arial Narrow" w:hAnsi="Arial Narrow"/>
          <w:sz w:val="22"/>
          <w:szCs w:val="22"/>
        </w:rPr>
        <w:t xml:space="preserve">=0,33º, </w:t>
      </w:r>
      <w:r>
        <w:rPr>
          <w:rFonts w:eastAsia="Symbol" w:cs="Symbol" w:ascii="Symbol" w:hAnsi="Symbol"/>
          <w:sz w:val="22"/>
          <w:szCs w:val="22"/>
        </w:rPr>
        <w:t></w:t>
      </w:r>
      <w:r>
        <w:rPr>
          <w:rFonts w:cs="Arial" w:ascii="Arial Narrow" w:hAnsi="Arial Narrow"/>
          <w:sz w:val="22"/>
          <w:szCs w:val="22"/>
        </w:rPr>
        <w:t>=5º, powinny spełniać wymagania z uwzględnieniem dopuszczalnego zmniejszenia wartości w okresie gwarantowanej trwałości zgodnie z tabelą pkt 10.2.1.</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1276" w:hanging="0"/>
        <w:jc w:val="both"/>
        <w:rPr>
          <w:rFonts w:ascii="Arial Narrow" w:hAnsi="Arial Narrow" w:cs="Arial"/>
          <w:sz w:val="22"/>
          <w:szCs w:val="22"/>
        </w:rPr>
      </w:pPr>
      <w:r>
        <w:rPr>
          <w:rFonts w:cs="Arial" w:ascii="Arial Narrow" w:hAnsi="Arial Narrow"/>
          <w:sz w:val="22"/>
          <w:szCs w:val="22"/>
        </w:rPr>
        <w:t>Przyczepność folii odblaskowej na krawędziach próbki należy sprawdzić po każdym badaniu odpornościowym. Wymaganie będzie spełnione w przypadku stwierdzenia braku delaminacji folii.</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u w:val="single"/>
        </w:rPr>
        <w:t>Sprawdzenie odporności na działanie substancji chemicznych.</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1276" w:hanging="0"/>
        <w:jc w:val="both"/>
        <w:rPr>
          <w:rFonts w:ascii="Arial Narrow" w:hAnsi="Arial Narrow" w:cs="Arial"/>
          <w:sz w:val="22"/>
          <w:szCs w:val="22"/>
          <w:u w:val="single"/>
        </w:rPr>
      </w:pPr>
      <w:r>
        <w:rPr>
          <w:rFonts w:cs="Arial" w:ascii="Arial Narrow" w:hAnsi="Arial Narrow"/>
          <w:sz w:val="22"/>
          <w:szCs w:val="22"/>
        </w:rPr>
        <w:t xml:space="preserve">Próbki poddane ośmiogodzinnemu działaniu 10% wodnego roztworu środka do mycia nadwozi. Następnie te same próbki poddać 1 minutowemu działaniu paliwa wzorcowego. Po próbie sprawdzić wystąpienie spękań, złuszczeń, pomarszczeń, spęcherzeń, korozji lub widocznych zmian barw powierzchni badanych folii. Wykonać pomiary powierzchniowego współczynnika odblasku (geometria ograniczona </w:t>
      </w:r>
      <w:r>
        <w:rPr>
          <w:rFonts w:eastAsia="Symbol" w:cs="Symbol" w:ascii="Symbol" w:hAnsi="Symbol"/>
          <w:sz w:val="22"/>
          <w:szCs w:val="22"/>
        </w:rPr>
        <w:t></w:t>
      </w:r>
      <w:r>
        <w:rPr>
          <w:rFonts w:cs="Arial" w:ascii="Arial Narrow" w:hAnsi="Arial Narrow"/>
          <w:sz w:val="22"/>
          <w:szCs w:val="22"/>
        </w:rPr>
        <w:t xml:space="preserve">=0,33º </w:t>
      </w:r>
      <w:r>
        <w:rPr>
          <w:rFonts w:eastAsia="Symbol" w:cs="Symbol" w:ascii="Symbol" w:hAnsi="Symbol"/>
          <w:sz w:val="22"/>
          <w:szCs w:val="22"/>
        </w:rPr>
        <w:t></w:t>
      </w:r>
      <w:r>
        <w:rPr>
          <w:rFonts w:cs="Arial" w:ascii="Arial Narrow" w:hAnsi="Arial Narrow"/>
          <w:sz w:val="22"/>
          <w:szCs w:val="22"/>
        </w:rPr>
        <w:t>=5º).</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rPr>
          <w:rFonts w:ascii="Arial Narrow" w:hAnsi="Arial Narrow" w:cs="Arial"/>
          <w:sz w:val="22"/>
          <w:szCs w:val="22"/>
          <w:u w:val="single"/>
        </w:rPr>
      </w:pPr>
      <w:r>
        <w:rPr>
          <w:rFonts w:cs="Arial" w:ascii="Arial Narrow" w:hAnsi="Arial Narrow"/>
          <w:sz w:val="22"/>
          <w:szCs w:val="22"/>
          <w:u w:val="single"/>
        </w:rPr>
        <w:t>Sprawdzenie odporności na działanie mgły solnej.</w:t>
      </w:r>
      <w:r>
        <w:rPr>
          <w:rFonts w:cs="Arial" w:ascii="Arial Narrow" w:hAnsi="Arial Narrow"/>
          <w:sz w:val="22"/>
          <w:szCs w:val="22"/>
        </w:rPr>
        <w:t xml:space="preserve"> </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1276" w:hanging="0"/>
        <w:jc w:val="both"/>
        <w:rPr>
          <w:rFonts w:ascii="Arial Narrow" w:hAnsi="Arial Narrow" w:cs="Arial"/>
          <w:b/>
          <w:b/>
          <w:sz w:val="22"/>
          <w:szCs w:val="22"/>
        </w:rPr>
      </w:pPr>
      <w:r>
        <w:rPr>
          <w:rFonts w:cs="Arial" w:ascii="Arial Narrow" w:hAnsi="Arial Narrow"/>
          <w:sz w:val="22"/>
          <w:szCs w:val="22"/>
        </w:rPr>
        <w:t xml:space="preserve">Próbki poddane 250 godzinom działania rozpylonego 5 % roztworu wodnego NaCl, w temperaturze 35°C. Po próbie sprawdzić wystąpienie spękań, złuszczeń, pomarszczeń, śladów korozji, widocznych zmian barwy i innych wad badanych próbek. Wykonać pomiary powierzchniowego współczynnika odblasku (geometria ograniczona </w:t>
      </w:r>
      <w:r>
        <w:rPr>
          <w:rFonts w:eastAsia="Symbol" w:cs="Symbol" w:ascii="Symbol" w:hAnsi="Symbol"/>
          <w:sz w:val="22"/>
          <w:szCs w:val="22"/>
        </w:rPr>
        <w:t></w:t>
      </w:r>
      <w:r>
        <w:rPr>
          <w:rFonts w:cs="Arial" w:ascii="Arial Narrow" w:hAnsi="Arial Narrow"/>
          <w:sz w:val="22"/>
          <w:szCs w:val="22"/>
        </w:rPr>
        <w:t xml:space="preserve">=0,33º </w:t>
      </w:r>
      <w:r>
        <w:rPr>
          <w:rFonts w:eastAsia="Symbol" w:cs="Symbol" w:ascii="Symbol" w:hAnsi="Symbol"/>
          <w:sz w:val="22"/>
          <w:szCs w:val="22"/>
        </w:rPr>
        <w:t></w:t>
      </w:r>
      <w:r>
        <w:rPr>
          <w:rFonts w:cs="Arial" w:ascii="Arial Narrow" w:hAnsi="Arial Narrow"/>
          <w:sz w:val="22"/>
          <w:szCs w:val="22"/>
        </w:rPr>
        <w:t>=5º).</w:t>
      </w:r>
      <w:r>
        <w:rPr>
          <w:rFonts w:cs="Arial" w:ascii="Arial Narrow" w:hAnsi="Arial Narrow"/>
          <w:b/>
          <w:sz w:val="22"/>
          <w:szCs w:val="22"/>
        </w:rPr>
        <w:t xml:space="preserve"> </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1276" w:hanging="0"/>
        <w:jc w:val="both"/>
        <w:rPr>
          <w:rFonts w:ascii="Arial Narrow" w:hAnsi="Arial Narrow" w:cs="Arial"/>
          <w:sz w:val="22"/>
          <w:szCs w:val="22"/>
          <w:u w:val="single"/>
        </w:rPr>
      </w:pPr>
      <w:r>
        <w:rPr>
          <w:rFonts w:cs="Arial" w:ascii="Arial Narrow" w:hAnsi="Arial Narrow"/>
          <w:color w:val="C00000"/>
          <w:sz w:val="22"/>
          <w:szCs w:val="22"/>
        </w:rPr>
        <w:t>Próbę należy przeprowadzić na materiale nowym oraz na materiale poddanym próbie odporności na uderzenia drobnymi kamieniami.</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u w:val="single"/>
        </w:rPr>
        <w:t>Sprawdzenie odporności na działanie promieni świetlnych</w:t>
      </w:r>
      <w:r>
        <w:rPr>
          <w:rFonts w:cs="Arial" w:ascii="Arial Narrow" w:hAnsi="Arial Narrow"/>
          <w:sz w:val="22"/>
          <w:szCs w:val="22"/>
        </w:rPr>
        <w:t xml:space="preserve"> (Metoda badań zgodna z PN-EN ISO 4892-2, metoda A – dla 5 letniej gwarancji trwałości folii czas naświetlania to 1500 h. Parametry próby zamieszczone w Tabeli poniżej:</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ind w:left="1276" w:hanging="0"/>
        <w:contextualSpacing/>
        <w:rPr>
          <w:rFonts w:ascii="Arial Narrow" w:hAnsi="Arial Narrow" w:cs="Arial"/>
          <w:sz w:val="22"/>
          <w:szCs w:val="22"/>
          <w:u w:val="single"/>
        </w:rPr>
      </w:pPr>
      <w:r>
        <w:rPr>
          <w:rFonts w:cs="Arial" w:ascii="Arial Narrow" w:hAnsi="Arial Narrow"/>
          <w:sz w:val="22"/>
          <w:szCs w:val="22"/>
        </w:rPr>
        <w:t>Po próbie wykonać pomiar:</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rPr>
        <w:t xml:space="preserve">powierzchniowy współczynnik odblasku (geometria ograniczona </w:t>
      </w:r>
      <w:r>
        <w:rPr>
          <w:rFonts w:eastAsia="Symbol" w:cs="Symbol" w:ascii="Symbol" w:hAnsi="Symbol"/>
          <w:sz w:val="22"/>
          <w:szCs w:val="22"/>
        </w:rPr>
        <w:t></w:t>
      </w:r>
      <w:r>
        <w:rPr>
          <w:rFonts w:cs="Arial" w:ascii="Arial Narrow" w:hAnsi="Arial Narrow"/>
          <w:sz w:val="22"/>
          <w:szCs w:val="22"/>
        </w:rPr>
        <w:t xml:space="preserve">=0,33º </w:t>
      </w:r>
      <w:r>
        <w:rPr>
          <w:rFonts w:eastAsia="Symbol" w:cs="Symbol" w:ascii="Symbol" w:hAnsi="Symbol"/>
          <w:sz w:val="22"/>
          <w:szCs w:val="22"/>
        </w:rPr>
        <w:t></w:t>
      </w:r>
      <w:r>
        <w:rPr>
          <w:rFonts w:cs="Arial" w:ascii="Arial Narrow" w:hAnsi="Arial Narrow"/>
          <w:sz w:val="22"/>
          <w:szCs w:val="22"/>
        </w:rPr>
        <w:t>=5º).</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rPr>
        <w:t>współrzędne trójchromatyczne i współczynnik luminancji (spełnione wymaganie jak dla materiału nowego)</w:t>
      </w:r>
    </w:p>
    <w:tbl>
      <w:tblPr>
        <w:tblW w:w="7654" w:type="dxa"/>
        <w:jc w:val="center"/>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2551"/>
        <w:gridCol w:w="2551"/>
        <w:gridCol w:w="2552"/>
      </w:tblGrid>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Parametry ekspozycji próbek</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Lampy chłodzone powietrzem</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Lampy chłodzone wodą</w:t>
            </w:r>
          </w:p>
        </w:tc>
      </w:tr>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Cykl światło/ciemność/mgła wodna</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Ciągłe naświetlanie, z ekspozycją próbek na mgłę wodną przez 18min. co dwie godziny</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Ciągłe naświetlanie, z ekspozycją próbek na mgłę wodną przez 18min. co dwie godziny</w:t>
            </w:r>
          </w:p>
        </w:tc>
      </w:tr>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lang w:val="en-US"/>
              </w:rPr>
            </w:pPr>
            <w:r>
              <w:rPr>
                <w:rFonts w:eastAsia="Calibri" w:cs="Arial" w:ascii="Arial Narrow" w:hAnsi="Arial Narrow"/>
                <w:sz w:val="22"/>
                <w:szCs w:val="22"/>
                <w:lang w:val="en-US"/>
              </w:rPr>
              <w:t>Temperatura BST (Black Standard Thermometer)</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 xml:space="preserve">(65 ± 3) </w:t>
            </w:r>
            <w:r>
              <w:rPr>
                <w:rFonts w:eastAsia="Calibri" w:cs="Arial" w:ascii="Arial" w:hAnsi="Arial"/>
                <w:sz w:val="22"/>
                <w:szCs w:val="22"/>
              </w:rPr>
              <w:t>⁰</w:t>
            </w:r>
            <w:r>
              <w:rPr>
                <w:rFonts w:eastAsia="Calibri" w:cs="Arial" w:ascii="Arial Narrow" w:hAnsi="Arial Narrow"/>
                <w:sz w:val="22"/>
                <w:szCs w:val="22"/>
              </w:rPr>
              <w:t>C</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 xml:space="preserve">(65 ± 3) </w:t>
            </w:r>
            <w:r>
              <w:rPr>
                <w:rFonts w:eastAsia="Calibri" w:cs="Arial" w:ascii="Arial" w:hAnsi="Arial"/>
                <w:sz w:val="22"/>
                <w:szCs w:val="22"/>
              </w:rPr>
              <w:t>⁰</w:t>
            </w:r>
            <w:r>
              <w:rPr>
                <w:rFonts w:eastAsia="Calibri" w:cs="Arial" w:ascii="Arial Narrow" w:hAnsi="Arial Narrow"/>
                <w:sz w:val="22"/>
                <w:szCs w:val="22"/>
              </w:rPr>
              <w:t>C</w:t>
            </w:r>
          </w:p>
        </w:tc>
      </w:tr>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Wilgotność względna</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(50 ± 5) %</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(50 ± 5) %</w:t>
            </w:r>
          </w:p>
        </w:tc>
      </w:tr>
      <w:tr>
        <w:trPr/>
        <w:tc>
          <w:tcPr>
            <w:tcW w:w="765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Napromieniowanie W/m</w:t>
            </w:r>
            <w:r>
              <w:rPr>
                <w:rFonts w:eastAsia="Calibri" w:cs="Arial" w:ascii="Arial Narrow" w:hAnsi="Arial Narrow"/>
                <w:sz w:val="22"/>
                <w:szCs w:val="22"/>
                <w:vertAlign w:val="superscript"/>
              </w:rPr>
              <w:t>2</w:t>
            </w:r>
          </w:p>
        </w:tc>
      </w:tr>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Dla promieniowania w przedziale 300÷400 nm</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60</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60</w:t>
            </w:r>
          </w:p>
        </w:tc>
      </w:tr>
      <w:tr>
        <w:trPr/>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Dla promieniowania w przedziale 300÷800 nm</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550</w:t>
            </w:r>
          </w:p>
        </w:tc>
        <w:tc>
          <w:tcPr>
            <w:tcW w:w="25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ind w:left="0" w:hanging="0"/>
              <w:jc w:val="center"/>
              <w:rPr>
                <w:rFonts w:ascii="Arial Narrow" w:hAnsi="Arial Narrow" w:eastAsia="Calibri" w:cs="Arial"/>
                <w:sz w:val="22"/>
                <w:szCs w:val="22"/>
              </w:rPr>
            </w:pPr>
            <w:r>
              <w:rPr>
                <w:rFonts w:eastAsia="Calibri" w:cs="Arial" w:ascii="Arial Narrow" w:hAnsi="Arial Narrow"/>
                <w:sz w:val="22"/>
                <w:szCs w:val="22"/>
              </w:rPr>
              <w:t>630</w:t>
            </w:r>
          </w:p>
        </w:tc>
      </w:tr>
    </w:tbl>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rPr>
          <w:rFonts w:ascii="Arial Narrow" w:hAnsi="Arial Narrow" w:cs="Arial"/>
          <w:sz w:val="22"/>
          <w:szCs w:val="22"/>
          <w:u w:val="single"/>
        </w:rPr>
      </w:pPr>
      <w:r>
        <w:rPr>
          <w:rFonts w:cs="Arial" w:ascii="Arial Narrow" w:hAnsi="Arial Narrow"/>
          <w:sz w:val="22"/>
          <w:szCs w:val="22"/>
          <w:u w:val="single"/>
        </w:rPr>
        <w:t>Sprawdzenie odporności na ścieranie</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1276" w:hanging="0"/>
        <w:jc w:val="both"/>
        <w:rPr>
          <w:rFonts w:ascii="Arial Narrow" w:hAnsi="Arial Narrow" w:cs="Arial"/>
          <w:sz w:val="22"/>
          <w:szCs w:val="22"/>
          <w:u w:val="single"/>
        </w:rPr>
      </w:pPr>
      <w:r>
        <w:rPr>
          <w:rFonts w:cs="Arial" w:ascii="Arial Narrow" w:hAnsi="Arial Narrow"/>
          <w:sz w:val="22"/>
          <w:szCs w:val="22"/>
        </w:rPr>
        <w:t xml:space="preserve">Próbę wykonujemy przy pomocy piasku kwarcowego o średnicy ziarna 0,1 ÷0,2 µm. Materiał ścierny powinien być przesypywany przez gładką wewnątrz, pionową rurę o długości 1 m i wymiarach wewnętrznych 80 x 110 mm. Badana próbka powinna być pochylona pod kątek 45° względem otworu wylotowego rury. Na próbkę należy wysypać równomiernie 10 kg materiału ściernego. Po próbie należy zmierzyć wartości powierzchniowego współczynnika odblasku (geometria ograniczona </w:t>
      </w:r>
      <w:r>
        <w:rPr>
          <w:rFonts w:eastAsia="Symbol" w:cs="Symbol" w:ascii="Symbol" w:hAnsi="Symbol"/>
          <w:sz w:val="22"/>
          <w:szCs w:val="22"/>
        </w:rPr>
        <w:t></w:t>
      </w:r>
      <w:r>
        <w:rPr>
          <w:rFonts w:cs="Arial" w:ascii="Arial Narrow" w:hAnsi="Arial Narrow"/>
          <w:sz w:val="22"/>
          <w:szCs w:val="22"/>
        </w:rPr>
        <w:t xml:space="preserve">=0,33º </w:t>
      </w:r>
      <w:r>
        <w:rPr>
          <w:rFonts w:eastAsia="Symbol" w:cs="Symbol" w:ascii="Symbol" w:hAnsi="Symbol"/>
          <w:sz w:val="22"/>
          <w:szCs w:val="22"/>
        </w:rPr>
        <w:t></w:t>
      </w:r>
      <w:r>
        <w:rPr>
          <w:rFonts w:cs="Arial" w:ascii="Arial Narrow" w:hAnsi="Arial Narrow"/>
          <w:sz w:val="22"/>
          <w:szCs w:val="22"/>
          <w:vertAlign w:val="subscript"/>
        </w:rPr>
        <w:t>2</w:t>
      </w:r>
      <w:r>
        <w:rPr>
          <w:rFonts w:cs="Arial" w:ascii="Arial Narrow" w:hAnsi="Arial Narrow"/>
          <w:sz w:val="22"/>
          <w:szCs w:val="22"/>
        </w:rPr>
        <w:t>=5º), wymagana wartość ≥70% wartości przed próbą oraz przyczepność folii na krawędziach próbki.</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u w:val="single"/>
        </w:rPr>
        <w:t>Sprawdzenie odporności na działanie temperatury.</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ind w:left="1276" w:hanging="0"/>
        <w:contextualSpacing/>
        <w:rPr>
          <w:rFonts w:ascii="Arial Narrow" w:hAnsi="Arial Narrow" w:cs="Arial"/>
          <w:sz w:val="22"/>
          <w:szCs w:val="22"/>
          <w:u w:val="single"/>
        </w:rPr>
      </w:pPr>
      <w:r>
        <w:rPr>
          <w:rFonts w:cs="Arial" w:ascii="Arial Narrow" w:hAnsi="Arial Narrow"/>
          <w:sz w:val="22"/>
          <w:szCs w:val="22"/>
        </w:rPr>
        <w:t>Sprawdzenie odporności na działanie temperatury powinno być przeprowadzone poprzez zbadanie:</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127" w:hanging="851"/>
        <w:jc w:val="both"/>
        <w:rPr>
          <w:rFonts w:ascii="Arial Narrow" w:hAnsi="Arial Narrow" w:cs="Arial"/>
          <w:sz w:val="22"/>
          <w:szCs w:val="22"/>
          <w:u w:val="single"/>
        </w:rPr>
      </w:pPr>
      <w:r>
        <w:rPr>
          <w:rFonts w:cs="Arial" w:ascii="Arial Narrow" w:hAnsi="Arial Narrow"/>
          <w:sz w:val="22"/>
          <w:szCs w:val="22"/>
        </w:rPr>
        <w:t xml:space="preserve">odporności na działanie podwyższonej temperatury: próbkę należy umieścić w suszarce laboratoryjnej (komorze klimatycznej itp.) i wygrzewać w temperaturze + 70°C przez 12h, sposób zapewniający utrzymywanie się jednakowej temperatury w różnych miejscach próbki. Bezpośrednio po zakończeniu wygrzewania próbkę schłodzić szokowo przez wrzucenie do wody o temperaturze 21ºC ±2ºC, w której należy ją przetrzymać przez 0,5h, aż osiągnie temperaturę wody. Po zakończeniu badania próbkę przenosi się w stan spoczynku na 0,5h do temperatury pokojowej (15 ÷ 25) </w:t>
      </w:r>
      <w:r>
        <w:rPr>
          <w:rFonts w:cs="Arial" w:ascii="Arial" w:hAnsi="Arial"/>
          <w:sz w:val="22"/>
          <w:szCs w:val="22"/>
        </w:rPr>
        <w:t>⁰</w:t>
      </w:r>
      <w:r>
        <w:rPr>
          <w:rFonts w:cs="Arial" w:ascii="Arial Narrow" w:hAnsi="Arial Narrow"/>
          <w:sz w:val="22"/>
          <w:szCs w:val="22"/>
        </w:rPr>
        <w:t>C i wilgotności względnej (15 ÷ 60) %.</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127" w:hanging="851"/>
        <w:jc w:val="both"/>
        <w:rPr>
          <w:rFonts w:ascii="Arial Narrow" w:hAnsi="Arial Narrow" w:cs="Arial"/>
          <w:sz w:val="22"/>
          <w:szCs w:val="22"/>
          <w:u w:val="single"/>
        </w:rPr>
      </w:pPr>
      <w:r>
        <w:rPr>
          <w:rFonts w:cs="Arial" w:ascii="Arial Narrow" w:hAnsi="Arial Narrow"/>
          <w:sz w:val="22"/>
          <w:szCs w:val="22"/>
        </w:rPr>
        <w:t xml:space="preserve">odporności na działanie zmiennych temperatur: próbkę należy poddać przemiennemu działaniu wysokiej </w:t>
        <w:br/>
        <w:t>i niskiej temperatury, a następnie określić i ocenić powstałe ewentualnie w wyniku tego badania zmiany właściwości powłok nawierzchniowych.  Próbę należy przeprowadzić zgodnie z tabelą poniżej.</w:t>
      </w:r>
    </w:p>
    <w:tbl>
      <w:tblPr>
        <w:tblW w:w="6373" w:type="dxa"/>
        <w:jc w:val="left"/>
        <w:tblInd w:w="212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2124"/>
        <w:gridCol w:w="2124"/>
        <w:gridCol w:w="2125"/>
      </w:tblGrid>
      <w:tr>
        <w:trPr/>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Czas trwania testu [h]</w:t>
            </w:r>
          </w:p>
        </w:tc>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Temperatura [</w:t>
            </w:r>
            <w:r>
              <w:rPr>
                <w:rFonts w:eastAsia="Calibri" w:cs="Arial" w:ascii="Arial" w:hAnsi="Arial"/>
                <w:sz w:val="22"/>
                <w:szCs w:val="22"/>
                <w:lang w:eastAsia="en-US"/>
              </w:rPr>
              <w:t>⁰</w:t>
            </w:r>
            <w:r>
              <w:rPr>
                <w:rFonts w:eastAsia="Calibri" w:cs="Arial" w:ascii="Arial Narrow" w:hAnsi="Arial Narrow"/>
                <w:sz w:val="22"/>
                <w:szCs w:val="22"/>
                <w:lang w:eastAsia="en-US"/>
              </w:rPr>
              <w:t>C]</w:t>
            </w:r>
          </w:p>
        </w:tc>
        <w:tc>
          <w:tcPr>
            <w:tcW w:w="2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Wilgotność względna [%]</w:t>
            </w:r>
          </w:p>
        </w:tc>
      </w:tr>
      <w:tr>
        <w:trPr/>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0-2</w:t>
            </w:r>
          </w:p>
        </w:tc>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+ 70 ± 3</w:t>
            </w:r>
          </w:p>
        </w:tc>
        <w:tc>
          <w:tcPr>
            <w:tcW w:w="2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50± 5</w:t>
            </w:r>
          </w:p>
        </w:tc>
      </w:tr>
      <w:tr>
        <w:trPr/>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3-4</w:t>
            </w:r>
          </w:p>
        </w:tc>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+23 ± 3</w:t>
            </w:r>
          </w:p>
        </w:tc>
        <w:tc>
          <w:tcPr>
            <w:tcW w:w="2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50± 5</w:t>
            </w:r>
          </w:p>
        </w:tc>
      </w:tr>
      <w:tr>
        <w:trPr/>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5-6</w:t>
            </w:r>
          </w:p>
        </w:tc>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-30 ± 3</w:t>
            </w:r>
          </w:p>
        </w:tc>
        <w:tc>
          <w:tcPr>
            <w:tcW w:w="2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w:t>
            </w:r>
          </w:p>
        </w:tc>
      </w:tr>
      <w:tr>
        <w:trPr/>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7-8</w:t>
            </w:r>
          </w:p>
        </w:tc>
        <w:tc>
          <w:tcPr>
            <w:tcW w:w="21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+23 ± 3</w:t>
            </w:r>
          </w:p>
        </w:tc>
        <w:tc>
          <w:tcPr>
            <w:tcW w:w="2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numPr>
                <w:ilvl w:val="0"/>
                <w:numId w:val="0"/>
              </w:numPr>
              <w:spacing w:lineRule="auto" w:line="252"/>
              <w:ind w:left="0" w:hanging="0"/>
              <w:jc w:val="center"/>
              <w:outlineLvl w:val="0"/>
              <w:rPr>
                <w:rFonts w:ascii="Arial Narrow" w:hAnsi="Arial Narrow" w:eastAsia="Calibri" w:cs="Arial"/>
                <w:sz w:val="22"/>
                <w:szCs w:val="22"/>
                <w:lang w:eastAsia="en-US"/>
              </w:rPr>
            </w:pPr>
            <w:r>
              <w:rPr>
                <w:rFonts w:eastAsia="Calibri" w:cs="Arial" w:ascii="Arial Narrow" w:hAnsi="Arial Narrow"/>
                <w:sz w:val="22"/>
                <w:szCs w:val="22"/>
                <w:lang w:eastAsia="en-US"/>
              </w:rPr>
              <w:t>50± 5</w:t>
            </w:r>
          </w:p>
        </w:tc>
      </w:tr>
    </w:tbl>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2126" w:hanging="0"/>
        <w:jc w:val="both"/>
        <w:rPr>
          <w:rFonts w:ascii="Arial Narrow" w:hAnsi="Arial Narrow" w:cs="Arial"/>
          <w:sz w:val="22"/>
          <w:szCs w:val="22"/>
          <w:u w:val="single"/>
        </w:rPr>
      </w:pPr>
      <w:r>
        <w:rPr>
          <w:rFonts w:cs="Arial" w:ascii="Arial Narrow" w:hAnsi="Arial Narrow"/>
          <w:sz w:val="22"/>
          <w:szCs w:val="22"/>
        </w:rPr>
        <w:t>Po teście należy sprawdzić przyczepność folii na krawędziach próbki, wykonać pomiar barwy i współczynnika odblasku.</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u w:val="single"/>
        </w:rPr>
        <w:t xml:space="preserve">Sprawdzenie przyczepności do podłoża. </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ind w:left="1276" w:hanging="0"/>
        <w:contextualSpacing/>
        <w:rPr>
          <w:rFonts w:ascii="Arial Narrow" w:hAnsi="Arial Narrow" w:cs="Arial"/>
          <w:sz w:val="22"/>
          <w:szCs w:val="22"/>
          <w:u w:val="single"/>
        </w:rPr>
      </w:pPr>
      <w:r>
        <w:rPr>
          <w:rFonts w:cs="Arial" w:ascii="Arial Narrow" w:hAnsi="Arial Narrow"/>
          <w:sz w:val="22"/>
          <w:szCs w:val="22"/>
        </w:rPr>
        <w:t>Sprawdzenie odporności na oderwanie folii od podłoża sprawdza się poprzez przeprowadzenie testu przyczepności na płaskim lakierowanym podłożu z blachy stalowej (pasek o szerokości 25mm, odrywany pod kątem 90</w:t>
      </w:r>
      <w:r>
        <w:rPr>
          <w:rFonts w:cs="Arial" w:ascii="Arial" w:hAnsi="Arial"/>
          <w:sz w:val="22"/>
          <w:szCs w:val="22"/>
        </w:rPr>
        <w:t>⁰</w:t>
      </w:r>
      <w:r>
        <w:rPr>
          <w:rFonts w:cs="Arial" w:ascii="Arial Narrow" w:hAnsi="Arial Narrow"/>
          <w:sz w:val="22"/>
          <w:szCs w:val="22"/>
        </w:rPr>
        <w:t xml:space="preserve"> z prędkością 300 mm/min). Badanie wykonuje się na próbkach:</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rPr>
          <w:rFonts w:ascii="Arial Narrow" w:hAnsi="Arial Narrow" w:cs="Arial"/>
          <w:sz w:val="22"/>
          <w:szCs w:val="22"/>
          <w:u w:val="single"/>
        </w:rPr>
      </w:pPr>
      <w:r>
        <w:rPr>
          <w:rFonts w:cs="Arial" w:ascii="Arial Narrow" w:hAnsi="Arial Narrow"/>
          <w:sz w:val="22"/>
          <w:szCs w:val="22"/>
        </w:rPr>
        <w:t xml:space="preserve">aklimatyzowanej 24h w 23°C ±2°C </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rPr>
        <w:t>umieszczonej na 1h w temperaturze −30°C ±2°C a następnie aklimatyzowanej przez 24h w temperaturze 23°C ±2°C;</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rPr>
        <w:t xml:space="preserve">umieszczonej przez 1 h w temperaturze +70°C ±2°C a następnie aklimatyzowanej przez 24h </w:t>
        <w:br/>
        <w:t>w temperaturze 23°C ±2°C</w:t>
      </w:r>
    </w:p>
    <w:p>
      <w:pPr>
        <w:pStyle w:val="ListParagraph"/>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1276" w:hanging="0"/>
        <w:rPr>
          <w:rFonts w:ascii="Arial Narrow" w:hAnsi="Arial Narrow" w:cs="Arial"/>
          <w:sz w:val="22"/>
          <w:szCs w:val="22"/>
          <w:u w:val="single"/>
        </w:rPr>
      </w:pPr>
      <w:r>
        <w:rPr>
          <w:rFonts w:cs="Arial" w:ascii="Arial Narrow" w:hAnsi="Arial Narrow"/>
          <w:sz w:val="22"/>
          <w:szCs w:val="22"/>
        </w:rPr>
        <w:t>Wymaganie będzie spełnione dla siły przyczepności do podłoża w każdej próbie: ≥ 12,5 N/25mm. lub całkowitego uszkodzenia folii (zerwanie, pęknięcie, rozciągnięcie).</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u w:val="single"/>
        </w:rPr>
      </w:pPr>
      <w:r>
        <w:rPr>
          <w:rFonts w:cs="Arial" w:ascii="Arial Narrow" w:hAnsi="Arial Narrow"/>
          <w:sz w:val="22"/>
          <w:szCs w:val="22"/>
          <w:u w:val="single"/>
        </w:rPr>
        <w:t>Badanie odporności na ścieranie powłoki / folii odblaskowej / lakieru podczas mycia nadwozia w myjni automatycznej.</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u w:val="single"/>
        </w:rPr>
      </w:pPr>
      <w:r>
        <w:rPr>
          <w:rFonts w:eastAsia="Calibri" w:cs="Arial" w:ascii="Arial Narrow" w:hAnsi="Arial Narrow"/>
          <w:sz w:val="22"/>
          <w:szCs w:val="22"/>
        </w:rPr>
        <w:t>Do badania wykorzystujemy aparaturę, która symuluje automatyczną myjnię samochodową w skali laboratoryjnej, składająca się z:</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u w:val="single"/>
        </w:rPr>
      </w:pPr>
      <w:r>
        <w:rPr>
          <w:rFonts w:eastAsia="Calibri" w:cs="Arial" w:ascii="Arial Narrow" w:hAnsi="Arial Narrow"/>
          <w:sz w:val="22"/>
          <w:szCs w:val="22"/>
        </w:rPr>
        <w:t>tekstylnej szczotki myjącej (paski z poliestru);</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35"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835" w:hanging="709"/>
        <w:jc w:val="both"/>
        <w:rPr>
          <w:rFonts w:ascii="Arial Narrow" w:hAnsi="Arial Narrow" w:cs="Arial"/>
          <w:sz w:val="22"/>
          <w:szCs w:val="22"/>
          <w:u w:val="single"/>
        </w:rPr>
      </w:pPr>
      <w:r>
        <w:rPr>
          <w:rFonts w:eastAsia="Calibri" w:cs="Arial" w:ascii="Arial Narrow" w:hAnsi="Arial Narrow"/>
          <w:sz w:val="22"/>
          <w:szCs w:val="22"/>
        </w:rPr>
        <w:t>dwóch dysz natryskujących, wykonanych ze stali nierdzewnej, umiejscowionych symetrycznie po dwóch stronach szczotki myjącej pod kątem 60°.</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u w:val="single"/>
        </w:rPr>
      </w:pPr>
      <w:r>
        <w:rPr>
          <w:rFonts w:cs="Arial" w:ascii="Arial Narrow" w:hAnsi="Arial Narrow"/>
          <w:sz w:val="22"/>
          <w:szCs w:val="22"/>
        </w:rPr>
        <w:t>Metoda badawcza:</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835" w:hanging="709"/>
        <w:jc w:val="both"/>
        <w:rPr>
          <w:rFonts w:ascii="Arial Narrow" w:hAnsi="Arial Narrow" w:cs="Arial"/>
          <w:sz w:val="22"/>
          <w:szCs w:val="22"/>
        </w:rPr>
      </w:pPr>
      <w:r>
        <w:rPr>
          <w:rFonts w:eastAsia="Calibri" w:cs="Arial" w:ascii="Arial Narrow" w:hAnsi="Arial Narrow"/>
          <w:sz w:val="22"/>
          <w:szCs w:val="22"/>
        </w:rPr>
        <w:t>szczotka myjąca obraca się z prędkością 85 obrotów na minutę, obrót szczotki myjącej zawsze w kierunku przeciwnym do kierunku przemieszczania się próbek testowych;</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835" w:hanging="709"/>
        <w:jc w:val="both"/>
        <w:rPr>
          <w:rFonts w:ascii="Arial Narrow" w:hAnsi="Arial Narrow" w:cs="Arial"/>
          <w:sz w:val="22"/>
          <w:szCs w:val="22"/>
        </w:rPr>
      </w:pPr>
      <w:r>
        <w:rPr>
          <w:rFonts w:eastAsia="Calibri" w:cs="Arial" w:ascii="Arial Narrow" w:hAnsi="Arial Narrow"/>
          <w:sz w:val="22"/>
          <w:szCs w:val="22"/>
        </w:rPr>
        <w:t>próbki spryskiwane są strumieniem środka myjącego z prędkością 2,2 l/min, pod ciśnieniem 2,5 ÷ 3,5 bar;</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prędkość przesuwu próbek pod szczotką myjącą: 5m/min;</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35"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ind w:left="2835" w:hanging="709"/>
        <w:jc w:val="both"/>
        <w:rPr>
          <w:rFonts w:ascii="Arial Narrow" w:hAnsi="Arial Narrow" w:cs="Arial"/>
          <w:sz w:val="22"/>
          <w:szCs w:val="22"/>
        </w:rPr>
      </w:pPr>
      <w:r>
        <w:rPr>
          <w:rFonts w:eastAsia="Calibri" w:cs="Arial" w:ascii="Arial Narrow" w:hAnsi="Arial Narrow"/>
          <w:sz w:val="22"/>
          <w:szCs w:val="22"/>
        </w:rPr>
        <w:t>zawiesina myjąca: standardowe odczynniki chemiczne stosowane na myjniach samochodowych;</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ilość powtórzeń: 50;</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 xml:space="preserve">temperatura próby: 40°C. </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Po próbie sprawdzenie:</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współrzędnych trójchromatycznych i współczynnika luminancji;</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0"/>
        <w:jc w:val="both"/>
        <w:rPr>
          <w:rFonts w:ascii="Arial Narrow" w:hAnsi="Arial Narrow" w:cs="Arial"/>
          <w:sz w:val="22"/>
          <w:szCs w:val="22"/>
        </w:rPr>
      </w:pPr>
      <w:r>
        <w:rPr>
          <w:rFonts w:eastAsia="Calibri" w:cs="Arial" w:ascii="Arial Narrow" w:hAnsi="Arial Narrow"/>
          <w:sz w:val="22"/>
          <w:szCs w:val="22"/>
        </w:rPr>
        <w:t>współczynnika odblasku;</w:t>
      </w:r>
    </w:p>
    <w:p>
      <w:pPr>
        <w:pStyle w:val="ListParagraph"/>
        <w:numPr>
          <w:ilvl w:val="4"/>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3118" w:hanging="992"/>
        <w:jc w:val="both"/>
        <w:rPr>
          <w:rFonts w:ascii="Arial Narrow" w:hAnsi="Arial Narrow" w:cs="Arial"/>
          <w:sz w:val="22"/>
          <w:szCs w:val="22"/>
        </w:rPr>
      </w:pPr>
      <w:r>
        <w:rPr>
          <w:rFonts w:eastAsia="Calibri" w:cs="Arial" w:ascii="Arial Narrow" w:hAnsi="Arial Narrow"/>
          <w:sz w:val="22"/>
          <w:szCs w:val="22"/>
        </w:rPr>
        <w:t>przyczepności folii na krawędziach próbki</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u w:val="single"/>
        </w:rPr>
        <w:t>Badanie odporności na uderzenia drobnymi kamieniami.</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both"/>
        <w:rPr>
          <w:rFonts w:ascii="Arial Narrow" w:hAnsi="Arial Narrow" w:cs="Arial"/>
          <w:sz w:val="22"/>
          <w:szCs w:val="22"/>
          <w:u w:val="single"/>
        </w:rPr>
      </w:pPr>
      <w:r>
        <w:rPr>
          <w:rFonts w:cs="Arial" w:ascii="Arial Narrow" w:hAnsi="Arial Narrow"/>
          <w:sz w:val="22"/>
          <w:szCs w:val="22"/>
        </w:rPr>
        <w:t>Przed badaniem próbki folii należy kondycjonować przez 16h w temperaturze (23 ± 2)</w:t>
      </w:r>
      <w:r>
        <w:rPr>
          <w:rFonts w:cs="Arial" w:ascii="Arial" w:hAnsi="Arial"/>
          <w:sz w:val="22"/>
          <w:szCs w:val="22"/>
        </w:rPr>
        <w:t>⁰</w:t>
      </w:r>
      <w:r>
        <w:rPr>
          <w:rFonts w:cs="Arial" w:ascii="Arial Narrow" w:hAnsi="Arial Narrow"/>
          <w:sz w:val="22"/>
          <w:szCs w:val="22"/>
        </w:rPr>
        <w:t xml:space="preserve">C i wilgotności względnej (50 ± 5) %. Badanie przebiega w temperaturze (23 ± 2) </w:t>
      </w:r>
      <w:r>
        <w:rPr>
          <w:rFonts w:cs="Arial" w:ascii="Arial" w:hAnsi="Arial"/>
          <w:sz w:val="22"/>
          <w:szCs w:val="22"/>
        </w:rPr>
        <w:t>⁰</w:t>
      </w:r>
      <w:r>
        <w:rPr>
          <w:rFonts w:cs="Arial" w:ascii="Arial Narrow" w:hAnsi="Arial Narrow"/>
          <w:sz w:val="22"/>
          <w:szCs w:val="22"/>
        </w:rPr>
        <w:t>C i wilgotności względnej (50 ± 5)%.</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both"/>
        <w:rPr>
          <w:rFonts w:ascii="Arial Narrow" w:hAnsi="Arial Narrow" w:cs="Arial"/>
          <w:sz w:val="22"/>
          <w:szCs w:val="22"/>
          <w:u w:val="single"/>
        </w:rPr>
      </w:pPr>
      <w:r>
        <w:rPr>
          <w:rFonts w:cs="Arial" w:ascii="Arial Narrow" w:hAnsi="Arial Narrow"/>
          <w:sz w:val="22"/>
          <w:szCs w:val="22"/>
        </w:rPr>
        <w:t>Do przeprowadzenia jednego badania odporności materiału foliowego na uderzenie kamieniami, do Grawelometru należy załadować 1000</w:t>
      </w:r>
      <w:r>
        <w:rPr>
          <w:rFonts w:cs="Arial" w:ascii="Arial Narrow" w:hAnsi="Arial Narrow"/>
          <w:sz w:val="22"/>
          <w:szCs w:val="22"/>
          <w:vertAlign w:val="superscript"/>
        </w:rPr>
        <w:t>+40</w:t>
      </w:r>
      <w:r>
        <w:rPr>
          <w:rFonts w:cs="Arial" w:ascii="Arial Narrow" w:hAnsi="Arial Narrow"/>
          <w:sz w:val="22"/>
          <w:szCs w:val="22"/>
        </w:rPr>
        <w:t xml:space="preserve"> g żwiru. Jedno badanie składa się z dwóch cykli, każdy trwający (10 ± 2) s, w trakcie którego próbka jest narażona na działanie 500</w:t>
      </w:r>
      <w:r>
        <w:rPr>
          <w:rFonts w:cs="Arial" w:ascii="Arial Narrow" w:hAnsi="Arial Narrow"/>
          <w:sz w:val="22"/>
          <w:szCs w:val="22"/>
          <w:vertAlign w:val="superscript"/>
        </w:rPr>
        <w:t>+20</w:t>
      </w:r>
      <w:r>
        <w:rPr>
          <w:rFonts w:cs="Arial" w:ascii="Arial Narrow" w:hAnsi="Arial Narrow"/>
          <w:sz w:val="22"/>
          <w:szCs w:val="22"/>
        </w:rPr>
        <w:t xml:space="preserve"> g żwiru.</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jc w:val="both"/>
        <w:rPr>
          <w:rFonts w:ascii="Arial Narrow" w:hAnsi="Arial Narrow" w:cs="Arial"/>
          <w:sz w:val="22"/>
          <w:szCs w:val="22"/>
          <w:u w:val="single"/>
        </w:rPr>
      </w:pPr>
      <w:r>
        <w:rPr>
          <w:rFonts w:cs="Arial" w:ascii="Arial Narrow" w:hAnsi="Arial Narrow"/>
          <w:sz w:val="22"/>
          <w:szCs w:val="22"/>
        </w:rPr>
        <w:t>Żwir wrzucany jest z dyszy pod ciśnieniem (100±5) kPa. Kąt między osią dyszy a płaszczyzną próbki podczas testu powinien wynosić (54 ± 1)</w:t>
      </w:r>
      <w:r>
        <w:rPr>
          <w:rFonts w:cs="Arial" w:ascii="Arial" w:hAnsi="Arial"/>
          <w:sz w:val="22"/>
          <w:szCs w:val="22"/>
        </w:rPr>
        <w:t>⁰</w:t>
      </w:r>
      <w:r>
        <w:rPr>
          <w:rFonts w:cs="Arial" w:ascii="Arial Narrow" w:hAnsi="Arial Narrow"/>
          <w:sz w:val="22"/>
          <w:szCs w:val="22"/>
        </w:rPr>
        <w:t xml:space="preserve"> a odległość płaszczyzny próbki od dyszy: (290 ± 1) mm.  Testowana powierzchnia próbki powinna wynosić 80 mm x 80 mm.</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0" w:after="120"/>
        <w:ind w:left="2127" w:hanging="851"/>
        <w:jc w:val="both"/>
        <w:rPr>
          <w:rFonts w:ascii="Arial Narrow" w:hAnsi="Arial Narrow" w:cs="Arial"/>
          <w:sz w:val="22"/>
          <w:szCs w:val="22"/>
          <w:u w:val="single"/>
        </w:rPr>
      </w:pPr>
      <w:r>
        <w:rPr>
          <w:rFonts w:cs="Arial" w:ascii="Arial Narrow" w:hAnsi="Arial Narrow"/>
          <w:sz w:val="22"/>
          <w:szCs w:val="22"/>
        </w:rPr>
        <w:t>Po teście należy przeprowadzić ocenę wzrokową wg normy ISO 20567-1. Wymaganie będzie spełnione dla stopnia uszkodzeń ≤ 2.0 oaz pomiar powierzchniowego współczynnika odblasku.</w:t>
      </w:r>
    </w:p>
    <w:p>
      <w:pPr>
        <w:pStyle w:val="ListParagraph"/>
        <w:numPr>
          <w:ilvl w:val="2"/>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u w:val="single"/>
        </w:rPr>
        <w:t>Badanie odporności na penetrację krawędzi folii odblaskowej.</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rPr>
        <w:t>Metoda wymaga zastosowania barwnikowego środka penetrującego. Środki penetrujące to komercyjnie dostępne roztwory barwiące lub aerozole, będące mieszanką lekkich olejów parafinowych, tj. biały olej mineralny, lekkich destylatów naftowych, tj. kerozyna oraz barwnika. Obecność innych rozpuszczalników, chemikaliów i dodatków jest dopuszczalna.</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rFonts w:ascii="Arial Narrow" w:hAnsi="Arial Narrow" w:cs="Arial"/>
          <w:sz w:val="22"/>
          <w:szCs w:val="22"/>
          <w:u w:val="single"/>
        </w:rPr>
      </w:pPr>
      <w:r>
        <w:rPr>
          <w:rFonts w:cs="Arial" w:ascii="Arial Narrow" w:hAnsi="Arial Narrow"/>
          <w:sz w:val="22"/>
          <w:szCs w:val="22"/>
        </w:rPr>
        <w:t>Próbka przeznaczona do badań powinna zostać wycięta (zgodnie ze specyfikacją techniczną producenta folii odblaskowej) z większego kawałka folii, w kształcie kwadratu o wymiarach boku10 cm x 10 cm i naklejona na blachę o wymiarach co najmniej 12 cm x 12 cm. Na próbkę należy nanieść substancję bawiącą zgodnie z opisem producenta, uwzględniając zwłaszcza okolice krawędzi. Tak przygotowana próbkę należy pozostawić na 15 min. a następnie nadmiar substancji usunąć za pomocą czystej i miękkiej szmatki.</w:t>
      </w:r>
    </w:p>
    <w:p>
      <w:pPr>
        <w:pStyle w:val="ListParagraph"/>
        <w:numPr>
          <w:ilvl w:val="3"/>
          <w:numId w:val="2"/>
        </w:numPr>
        <w:tabs>
          <w:tab w:val="left" w:pos="-1312" w:leader="none"/>
          <w:tab w:val="left" w:pos="-720" w:leader="none"/>
          <w:tab w:val="left" w:pos="0" w:leader="none"/>
          <w:tab w:val="left" w:pos="720" w:leader="none"/>
          <w:tab w:val="left" w:pos="1440" w:leader="none"/>
          <w:tab w:val="left" w:pos="2160" w:leader="none"/>
          <w:tab w:val="left" w:pos="2880" w:leader="none"/>
          <w:tab w:val="left" w:pos="3600" w:leader="none"/>
          <w:tab w:val="left" w:pos="3972" w:leader="none"/>
          <w:tab w:val="left" w:pos="5040" w:leader="none"/>
          <w:tab w:val="left" w:pos="5760" w:leader="none"/>
          <w:tab w:val="left" w:pos="6480" w:leader="none"/>
          <w:tab w:val="left" w:pos="7200" w:leader="none"/>
          <w:tab w:val="left" w:pos="7920" w:leader="none"/>
          <w:tab w:val="left" w:pos="8640" w:leader="none"/>
          <w:tab w:val="left" w:pos="9360" w:leader="none"/>
          <w:tab w:val="left" w:pos="9807" w:leader="none"/>
        </w:tabs>
        <w:spacing w:before="120" w:after="0"/>
        <w:contextualSpacing/>
        <w:jc w:val="both"/>
        <w:rPr/>
      </w:pPr>
      <w:r>
        <w:rPr>
          <w:rFonts w:cs="Arial" w:ascii="Arial Narrow" w:hAnsi="Arial Narrow"/>
          <w:sz w:val="22"/>
          <w:szCs w:val="22"/>
        </w:rPr>
        <w:t>Po usunięciu barwnika próbkę poddajemy inspekcji wzrokowej. Krawędzie badanej próbki nie mogą wykazywać śladów penetracji barwnika w głąb struktury materiału odblaskowego.</w:t>
      </w:r>
    </w:p>
    <w:sectPr>
      <w:headerReference w:type="default" r:id="rId2"/>
      <w:footerReference w:type="default" r:id="rId3"/>
      <w:type w:val="nextPage"/>
      <w:pgSz w:w="11906" w:h="16838"/>
      <w:pgMar w:left="1134" w:right="851" w:header="397" w:top="851" w:footer="567" w:bottom="851" w:gutter="0"/>
      <w:pgNumType w:start="1" w:fmt="decimal"/>
      <w:formProt w:val="false"/>
      <w:textDirection w:val="lrTb"/>
      <w:docGrid w:type="default" w:linePitch="272"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mbria">
    <w:charset w:val="ee"/>
    <w:family w:val="roman"/>
    <w:pitch w:val="variable"/>
  </w:font>
  <w:font w:name="Arial">
    <w:charset w:val="ee"/>
    <w:family w:val="roman"/>
    <w:pitch w:val="variable"/>
  </w:font>
  <w:font w:name="Arial Narrow">
    <w:charset w:val="ee"/>
    <w:family w:val="roman"/>
    <w:pitch w:val="variable"/>
  </w:font>
  <w:font w:name="Calibri">
    <w:charset w:val="ee"/>
    <w:family w:val="roman"/>
    <w:pitch w:val="variable"/>
  </w:font>
  <w:font w:name="Palatino Linotype">
    <w:charset w:val="ee"/>
    <w:family w:val="roman"/>
    <w:pitch w:val="variable"/>
  </w:font>
  <w:font w:name="Consolas">
    <w:charset w:val="ee"/>
    <w:family w:val="roman"/>
    <w:pitch w:val="variable"/>
  </w:font>
  <w:font w:name="Tahoma">
    <w:charset w:val="ee"/>
    <w:family w:val="roman"/>
    <w:pitch w:val="variable"/>
  </w:font>
  <w:font w:name="Century Gothic">
    <w:charset w:val="ee"/>
    <w:family w:val="roman"/>
    <w:pitch w:val="variable"/>
  </w:font>
  <w:font w:name="Liberation Sans">
    <w:altName w:val="Arial"/>
    <w:charset w:val="ee"/>
    <w:family w:val="roman"/>
    <w:pitch w:val="variable"/>
  </w:font>
  <w:font w:name="Arial Unicode MS">
    <w:charset w:val="ee"/>
    <w:family w:val="roman"/>
    <w:pitch w:val="variable"/>
  </w:font>
  <w:font w:name="Garamond">
    <w:charset w:val="ee"/>
    <w:family w:val="roman"/>
    <w:pitch w:val="variable"/>
  </w:font>
  <w:font w:name="Verdana">
    <w:charset w:val="ee"/>
    <w:family w:val="roman"/>
    <w:pitch w:val="variable"/>
  </w:font>
  <w:font w:name="Arial Narrow">
    <w:charset w:val="0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jc w:val="center"/>
      <w:rPr>
        <w:rFonts w:ascii="Arial Narrow" w:hAnsi="Arial Narrow"/>
      </w:rPr>
    </w:pPr>
    <w:r>
      <w:rPr>
        <w:rFonts w:ascii="Arial Narrow" w:hAnsi="Arial Narrow"/>
      </w:rPr>
    </w:r>
  </w:p>
  <w:p>
    <w:pPr>
      <w:pStyle w:val="Stopk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left" w:pos="1170" w:leader="none"/>
      </w:tabs>
      <w:rPr/>
    </w:pPr>
    <w:r>
      <w:rPr>
        <w:rFonts w:cs="Tahoma" w:ascii="Arial Narrow" w:hAnsi="Arial Narrow"/>
        <w:sz w:val="22"/>
        <w:szCs w:val="21"/>
      </w:rPr>
      <w:t>Numer referencyjny:</w:t>
    </w:r>
    <w:r>
      <w:rPr>
        <w:rFonts w:cs="Tahoma" w:ascii="Arial Narrow" w:hAnsi="Arial Narrow"/>
        <w:b/>
        <w:bCs/>
        <w:sz w:val="22"/>
        <w:szCs w:val="21"/>
      </w:rPr>
      <w:t xml:space="preserve"> T.SE.240.20.2026.BJ</w:t>
    </w:r>
    <w:r>
      <w:rPr>
        <w:b/>
        <w:bCs/>
      </w:rPr>
      <w:tab/>
    </w:r>
    <w:r>
      <w:rPr/>
      <w:tab/>
    </w:r>
  </w:p>
  <w:p>
    <w:pPr>
      <w:pStyle w:val="Gwka"/>
      <w:tabs>
        <w:tab w:val="left" w:pos="1170"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2160" w:hanging="720"/>
      </w:pPr>
      <w:rPr>
        <w:sz w:val="22"/>
        <w:b w:val="false"/>
        <w:color w:val="00000A"/>
      </w:rPr>
    </w:lvl>
    <w:lvl w:ilvl="2">
      <w:start w:val="1"/>
      <w:numFmt w:val="decimal"/>
      <w:lvlText w:val="%1.%2.%3."/>
      <w:lvlJc w:val="left"/>
      <w:pPr>
        <w:ind w:left="3600" w:hanging="720"/>
      </w:pPr>
      <w:rPr>
        <w:b w:val="false"/>
        <w:bCs w:val="false"/>
      </w:rPr>
    </w:lvl>
    <w:lvl w:ilvl="3">
      <w:start w:val="1"/>
      <w:numFmt w:val="decimal"/>
      <w:lvlText w:val="%1.%2.%3.%4."/>
      <w:lvlJc w:val="left"/>
      <w:pPr>
        <w:ind w:left="5400" w:hanging="1080"/>
      </w:pPr>
    </w:lvl>
    <w:lvl w:ilvl="4">
      <w:start w:val="1"/>
      <w:numFmt w:val="decimal"/>
      <w:lvlText w:val="%1.%2.%3.%4.%5."/>
      <w:lvlJc w:val="left"/>
      <w:pPr>
        <w:ind w:left="6840" w:hanging="1080"/>
      </w:pPr>
    </w:lvl>
    <w:lvl w:ilvl="5">
      <w:start w:val="1"/>
      <w:numFmt w:val="decimal"/>
      <w:lvlText w:val="%1.%2.%3.%4.%5.%6."/>
      <w:lvlJc w:val="left"/>
      <w:pPr>
        <w:ind w:left="8640" w:hanging="1440"/>
      </w:pPr>
    </w:lvl>
    <w:lvl w:ilvl="6">
      <w:start w:val="1"/>
      <w:numFmt w:val="decimal"/>
      <w:lvlText w:val="%1.%2.%3.%4.%5.%6.%7."/>
      <w:lvlJc w:val="left"/>
      <w:pPr>
        <w:ind w:left="10080" w:hanging="1440"/>
      </w:pPr>
    </w:lvl>
    <w:lvl w:ilvl="7">
      <w:start w:val="1"/>
      <w:numFmt w:val="decimal"/>
      <w:lvlText w:val="%1.%2.%3.%4.%5.%6.%7.%8."/>
      <w:lvlJc w:val="left"/>
      <w:pPr>
        <w:ind w:left="11880" w:hanging="1800"/>
      </w:pPr>
    </w:lvl>
    <w:lvl w:ilvl="8">
      <w:start w:val="1"/>
      <w:numFmt w:val="decimal"/>
      <w:lvlText w:val="%1.%2.%3.%4.%5.%6.%7.%8.%9."/>
      <w:lvlJc w:val="left"/>
      <w:pPr>
        <w:ind w:left="13680" w:hanging="2160"/>
      </w:pPr>
    </w:lvl>
  </w:abstractNum>
  <w:abstractNum w:abstractNumId="2">
    <w:lvl w:ilvl="0">
      <w:start w:val="1"/>
      <w:numFmt w:val="decimal"/>
      <w:lvlText w:val="%1."/>
      <w:lvlJc w:val="left"/>
      <w:pPr>
        <w:tabs>
          <w:tab w:val="num" w:pos="567"/>
        </w:tabs>
        <w:ind w:left="567" w:hanging="567"/>
      </w:pPr>
      <w:rPr>
        <w:sz w:val="22"/>
        <w:b/>
        <w:rFonts w:ascii="Arial Narrow" w:hAnsi="Arial Narrow"/>
      </w:rPr>
    </w:lvl>
    <w:lvl w:ilvl="1">
      <w:start w:val="1"/>
      <w:numFmt w:val="decimal"/>
      <w:lvlText w:val="%1.%2."/>
      <w:lvlJc w:val="left"/>
      <w:pPr>
        <w:tabs>
          <w:tab w:val="num" w:pos="567"/>
        </w:tabs>
        <w:ind w:left="567" w:hanging="567"/>
      </w:pPr>
      <w:rPr>
        <w:sz w:val="22"/>
        <w:b w:val="false"/>
        <w:rFonts w:ascii="Arial Narrow" w:hAnsi="Arial Narrow"/>
      </w:rPr>
    </w:lvl>
    <w:lvl w:ilvl="2">
      <w:start w:val="1"/>
      <w:numFmt w:val="decimal"/>
      <w:lvlText w:val="%1.%2.%3."/>
      <w:lvlJc w:val="left"/>
      <w:pPr>
        <w:tabs>
          <w:tab w:val="num" w:pos="1276"/>
        </w:tabs>
        <w:ind w:left="1276" w:hanging="709"/>
      </w:pPr>
      <w:rPr>
        <w:sz w:val="22"/>
        <w:b w:val="false"/>
        <w:rFonts w:ascii="Arial Narrow" w:hAnsi="Arial Narrow"/>
      </w:rPr>
    </w:lvl>
    <w:lvl w:ilvl="3">
      <w:start w:val="1"/>
      <w:numFmt w:val="decimal"/>
      <w:lvlText w:val="%1.%2.%3.%4."/>
      <w:lvlJc w:val="left"/>
      <w:pPr>
        <w:tabs>
          <w:tab w:val="num" w:pos="2126"/>
        </w:tabs>
        <w:ind w:left="2126" w:hanging="850"/>
      </w:pPr>
      <w:rPr>
        <w:sz w:val="22"/>
        <w:b w:val="false"/>
        <w:rFonts w:ascii="Arial Narrow" w:hAnsi="Arial Narrow"/>
      </w:rPr>
    </w:lvl>
    <w:lvl w:ilvl="4">
      <w:start w:val="1"/>
      <w:numFmt w:val="decimal"/>
      <w:lvlText w:val="%1.%2.%3.%4.%5."/>
      <w:lvlJc w:val="left"/>
      <w:pPr>
        <w:tabs>
          <w:tab w:val="num" w:pos="3119"/>
        </w:tabs>
        <w:ind w:left="3119" w:hanging="993"/>
      </w:pPr>
      <w:rPr>
        <w:sz w:val="22"/>
        <w:rFonts w:ascii="Arial Narrow" w:hAnsi="Arial Narrow"/>
      </w:rPr>
    </w:lvl>
    <w:lvl w:ilvl="5">
      <w:start w:val="1"/>
      <w:numFmt w:val="decimal"/>
      <w:lvlText w:val="%1.%2.%3.%4.%5.%6."/>
      <w:lvlJc w:val="left"/>
      <w:pPr>
        <w:tabs>
          <w:tab w:val="num" w:pos="4253"/>
        </w:tabs>
        <w:ind w:left="4253" w:hanging="1134"/>
      </w:pPr>
      <w:rPr>
        <w:sz w:val="22"/>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fals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qFormat="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01033"/>
    <w:pPr>
      <w:widowControl/>
      <w:suppressAutoHyphens w:val="true"/>
      <w:bidi w:val="0"/>
      <w:spacing w:before="0" w:after="0"/>
      <w:ind w:left="425" w:hanging="425"/>
      <w:jc w:val="both"/>
    </w:pPr>
    <w:rPr>
      <w:rFonts w:ascii="Times New Roman" w:hAnsi="Times New Roman" w:eastAsia="Times New Roman" w:cs="Times New Roman"/>
      <w:color w:val="00000A"/>
      <w:kern w:val="0"/>
      <w:sz w:val="20"/>
      <w:szCs w:val="20"/>
      <w:lang w:val="pl-PL" w:eastAsia="pl-PL" w:bidi="ar-SA"/>
    </w:rPr>
  </w:style>
  <w:style w:type="paragraph" w:styleId="Nagwek1">
    <w:name w:val="Heading 1"/>
    <w:basedOn w:val="Normal"/>
    <w:next w:val="Normal"/>
    <w:link w:val="Nagwek1Znak"/>
    <w:qFormat/>
    <w:rsid w:val="00980b35"/>
    <w:pPr>
      <w:keepNext w:val="true"/>
      <w:tabs>
        <w:tab w:val="left" w:pos="360" w:leader="none"/>
      </w:tabs>
      <w:ind w:left="360" w:hanging="425"/>
      <w:jc w:val="center"/>
      <w:outlineLvl w:val="0"/>
    </w:pPr>
    <w:rPr>
      <w:b/>
      <w:sz w:val="26"/>
      <w:szCs w:val="24"/>
    </w:rPr>
  </w:style>
  <w:style w:type="paragraph" w:styleId="Nagwek2">
    <w:name w:val="Heading 2"/>
    <w:basedOn w:val="Normal"/>
    <w:next w:val="Normal"/>
    <w:link w:val="Nagwek2Znak"/>
    <w:qFormat/>
    <w:rsid w:val="00eb195d"/>
    <w:pPr>
      <w:keepNext w:val="true"/>
      <w:spacing w:before="240" w:after="60"/>
      <w:outlineLvl w:val="1"/>
    </w:pPr>
    <w:rPr>
      <w:rFonts w:ascii="Cambria" w:hAnsi="Cambria"/>
      <w:b/>
      <w:bCs/>
      <w:i/>
      <w:iCs/>
      <w:sz w:val="28"/>
      <w:szCs w:val="28"/>
    </w:rPr>
  </w:style>
  <w:style w:type="paragraph" w:styleId="Nagwek3">
    <w:name w:val="Heading 3"/>
    <w:basedOn w:val="Normal"/>
    <w:next w:val="Normal"/>
    <w:link w:val="Nagwek3Znak"/>
    <w:qFormat/>
    <w:rsid w:val="00486109"/>
    <w:pPr>
      <w:keepNext w:val="true"/>
      <w:spacing w:before="240" w:after="60"/>
      <w:outlineLvl w:val="2"/>
    </w:pPr>
    <w:rPr>
      <w:rFonts w:ascii="Arial" w:hAnsi="Arial"/>
      <w:b/>
      <w:bCs/>
      <w:sz w:val="26"/>
      <w:szCs w:val="26"/>
    </w:rPr>
  </w:style>
  <w:style w:type="paragraph" w:styleId="Nagwek4">
    <w:name w:val="Heading 4"/>
    <w:basedOn w:val="Normal"/>
    <w:next w:val="Normal"/>
    <w:link w:val="Nagwek4Znak"/>
    <w:qFormat/>
    <w:rsid w:val="00486109"/>
    <w:pPr>
      <w:keepNext w:val="true"/>
      <w:spacing w:before="240" w:after="60"/>
      <w:outlineLvl w:val="3"/>
    </w:pPr>
    <w:rPr>
      <w:b/>
      <w:bCs/>
      <w:sz w:val="28"/>
      <w:szCs w:val="28"/>
    </w:rPr>
  </w:style>
  <w:style w:type="character" w:styleId="DefaultParagraphFont" w:default="1">
    <w:name w:val="Default Paragraph Font"/>
    <w:uiPriority w:val="1"/>
    <w:semiHidden/>
    <w:unhideWhenUsed/>
    <w:qFormat/>
    <w:rPr/>
  </w:style>
  <w:style w:type="character" w:styleId="Czeinternetowe">
    <w:name w:val="Łącze internetowe"/>
    <w:uiPriority w:val="99"/>
    <w:rsid w:val="003100dd"/>
    <w:rPr>
      <w:color w:val="0000FF"/>
      <w:u w:val="single"/>
    </w:rPr>
  </w:style>
  <w:style w:type="character" w:styleId="Pagenumber">
    <w:name w:val="page number"/>
    <w:basedOn w:val="DefaultParagraphFont"/>
    <w:qFormat/>
    <w:rsid w:val="00de2feb"/>
    <w:rPr/>
  </w:style>
  <w:style w:type="character" w:styleId="Txt1" w:customStyle="1">
    <w:name w:val="txt1"/>
    <w:qFormat/>
    <w:rsid w:val="00d6413d"/>
    <w:rPr>
      <w:b w:val="false"/>
      <w:bCs w:val="false"/>
    </w:rPr>
  </w:style>
  <w:style w:type="character" w:styleId="Tekstpodstawowywcity2Znak" w:customStyle="1">
    <w:name w:val="Tekst podstawowy wcięty 2 Znak"/>
    <w:basedOn w:val="DefaultParagraphFont"/>
    <w:link w:val="BodyTextIndent2"/>
    <w:qFormat/>
    <w:rsid w:val="00944262"/>
    <w:rPr/>
  </w:style>
  <w:style w:type="character" w:styleId="Tekstpodstawowywcity3Znak" w:customStyle="1">
    <w:name w:val="Tekst podstawowy wcięty 3 Znak"/>
    <w:link w:val="BodyTextIndent3"/>
    <w:qFormat/>
    <w:rsid w:val="006b4495"/>
    <w:rPr>
      <w:sz w:val="16"/>
      <w:szCs w:val="16"/>
    </w:rPr>
  </w:style>
  <w:style w:type="character" w:styleId="TekstprzypisukocowegoZnak" w:customStyle="1">
    <w:name w:val="Tekst przypisu końcowego Znak"/>
    <w:basedOn w:val="DefaultParagraphFont"/>
    <w:qFormat/>
    <w:rsid w:val="007b53a9"/>
    <w:rPr/>
  </w:style>
  <w:style w:type="character" w:styleId="Znakiprzypiswkocowych" w:customStyle="1">
    <w:name w:val="Znaki przypisów końcowych"/>
    <w:qFormat/>
    <w:rsid w:val="007b53a9"/>
    <w:rPr>
      <w:vertAlign w:val="superscript"/>
    </w:rPr>
  </w:style>
  <w:style w:type="character" w:styleId="Zakotwiczenieprzypisukocowego">
    <w:name w:val="Zakotwiczenie przypisu końcowego"/>
    <w:rPr>
      <w:vertAlign w:val="superscript"/>
    </w:rPr>
  </w:style>
  <w:style w:type="character" w:styleId="EndnoteCharacters">
    <w:name w:val="Endnote Characters"/>
    <w:qFormat/>
    <w:rPr>
      <w:vertAlign w:val="superscript"/>
    </w:rPr>
  </w:style>
  <w:style w:type="character" w:styleId="Tytulnews" w:customStyle="1">
    <w:name w:val="tytulnews"/>
    <w:basedOn w:val="DefaultParagraphFont"/>
    <w:qFormat/>
    <w:rsid w:val="00a14783"/>
    <w:rPr/>
  </w:style>
  <w:style w:type="character" w:styleId="H2" w:customStyle="1">
    <w:name w:val="h2"/>
    <w:basedOn w:val="DefaultParagraphFont"/>
    <w:qFormat/>
    <w:rsid w:val="00a16b4a"/>
    <w:rPr/>
  </w:style>
  <w:style w:type="character" w:styleId="H1" w:customStyle="1">
    <w:name w:val="h1"/>
    <w:basedOn w:val="DefaultParagraphFont"/>
    <w:qFormat/>
    <w:rsid w:val="00a16b4a"/>
    <w:rPr/>
  </w:style>
  <w:style w:type="character" w:styleId="StopkaZnak" w:customStyle="1">
    <w:name w:val="Stopka Znak"/>
    <w:basedOn w:val="DefaultParagraphFont"/>
    <w:uiPriority w:val="99"/>
    <w:qFormat/>
    <w:rsid w:val="00db194a"/>
    <w:rPr/>
  </w:style>
  <w:style w:type="character" w:styleId="Znakiprzypiswdolnych" w:customStyle="1">
    <w:name w:val="Znaki przypisów dolnych"/>
    <w:qFormat/>
    <w:rsid w:val="00432813"/>
    <w:rPr>
      <w:vertAlign w:val="superscript"/>
    </w:rPr>
  </w:style>
  <w:style w:type="character" w:styleId="Zakotwiczenieprzypisudolnego">
    <w:name w:val="Zakotwiczenie przypisu dolnego"/>
    <w:rPr>
      <w:vertAlign w:val="superscript"/>
    </w:rPr>
  </w:style>
  <w:style w:type="character" w:styleId="FootnoteCharacters">
    <w:name w:val="Footnote Characters"/>
    <w:qFormat/>
    <w:rPr>
      <w:vertAlign w:val="superscript"/>
    </w:rPr>
  </w:style>
  <w:style w:type="character" w:styleId="Tekstpodstawowy2Znak" w:customStyle="1">
    <w:name w:val="Tekst podstawowy 2 Znak"/>
    <w:link w:val="BodyText2"/>
    <w:qFormat/>
    <w:rsid w:val="00ec09aa"/>
    <w:rPr>
      <w:rFonts w:ascii="Arial Narrow" w:hAnsi="Arial Narrow"/>
      <w:sz w:val="22"/>
    </w:rPr>
  </w:style>
  <w:style w:type="character" w:styleId="Annotationreference">
    <w:name w:val="annotation reference"/>
    <w:qFormat/>
    <w:rsid w:val="001c064a"/>
    <w:rPr>
      <w:sz w:val="16"/>
      <w:szCs w:val="16"/>
    </w:rPr>
  </w:style>
  <w:style w:type="character" w:styleId="TekstkomentarzaZnak" w:customStyle="1">
    <w:name w:val="Tekst komentarza Znak"/>
    <w:basedOn w:val="DefaultParagraphFont"/>
    <w:link w:val="Annotationtext"/>
    <w:qFormat/>
    <w:rsid w:val="001c064a"/>
    <w:rPr/>
  </w:style>
  <w:style w:type="character" w:styleId="TematkomentarzaZnak" w:customStyle="1">
    <w:name w:val="Temat komentarza Znak"/>
    <w:link w:val="Annotationsubject"/>
    <w:qFormat/>
    <w:rsid w:val="001c064a"/>
    <w:rPr>
      <w:b/>
      <w:bCs/>
    </w:rPr>
  </w:style>
  <w:style w:type="character" w:styleId="TekstprzypisudolnegoZnak" w:customStyle="1">
    <w:name w:val="Tekst przypisu dolnego Znak"/>
    <w:basedOn w:val="DefaultParagraphFont"/>
    <w:qFormat/>
    <w:rsid w:val="002d2bd5"/>
    <w:rPr/>
  </w:style>
  <w:style w:type="character" w:styleId="Nagwek2Znak" w:customStyle="1">
    <w:name w:val="Nagłówek 2 Znak"/>
    <w:qFormat/>
    <w:rsid w:val="00eb195d"/>
    <w:rPr>
      <w:rFonts w:ascii="Cambria" w:hAnsi="Cambria" w:eastAsia="Times New Roman" w:cs="Times New Roman"/>
      <w:b/>
      <w:bCs/>
      <w:i/>
      <w:iCs/>
      <w:sz w:val="28"/>
      <w:szCs w:val="28"/>
    </w:rPr>
  </w:style>
  <w:style w:type="character" w:styleId="TekstpodstawowywcityZnak" w:customStyle="1">
    <w:name w:val="Tekst podstawowy wcięty Znak"/>
    <w:basedOn w:val="DefaultParagraphFont"/>
    <w:qFormat/>
    <w:rsid w:val="00b625d4"/>
    <w:rPr/>
  </w:style>
  <w:style w:type="character" w:styleId="Nagwek3Znak" w:customStyle="1">
    <w:name w:val="Nagłówek 3 Znak"/>
    <w:qFormat/>
    <w:rsid w:val="007d43c5"/>
    <w:rPr>
      <w:rFonts w:ascii="Arial" w:hAnsi="Arial" w:cs="Arial"/>
      <w:b/>
      <w:bCs/>
      <w:sz w:val="26"/>
      <w:szCs w:val="26"/>
    </w:rPr>
  </w:style>
  <w:style w:type="character" w:styleId="Nagwek1Znak" w:customStyle="1">
    <w:name w:val="Nagłówek 1 Znak"/>
    <w:qFormat/>
    <w:rsid w:val="007d43c5"/>
    <w:rPr>
      <w:b/>
      <w:sz w:val="26"/>
      <w:szCs w:val="24"/>
    </w:rPr>
  </w:style>
  <w:style w:type="character" w:styleId="BezodstpwZnak" w:customStyle="1">
    <w:name w:val="Bez odstępów Znak"/>
    <w:link w:val="NoSpacing"/>
    <w:qFormat/>
    <w:rsid w:val="004420bf"/>
    <w:rPr>
      <w:rFonts w:ascii="Calibri" w:hAnsi="Calibri"/>
      <w:sz w:val="22"/>
      <w:szCs w:val="22"/>
      <w:lang w:val="pl-PL" w:eastAsia="en-US" w:bidi="ar-SA"/>
    </w:rPr>
  </w:style>
  <w:style w:type="character" w:styleId="Txtnew" w:customStyle="1">
    <w:name w:val="txt-new"/>
    <w:basedOn w:val="DefaultParagraphFont"/>
    <w:qFormat/>
    <w:rsid w:val="00081079"/>
    <w:rPr/>
  </w:style>
  <w:style w:type="character" w:styleId="Luchili" w:customStyle="1">
    <w:name w:val="luc_hili"/>
    <w:basedOn w:val="DefaultParagraphFont"/>
    <w:qFormat/>
    <w:rsid w:val="00081079"/>
    <w:rPr/>
  </w:style>
  <w:style w:type="character" w:styleId="Znak2" w:customStyle="1">
    <w:name w:val="Znak2"/>
    <w:qFormat/>
    <w:rsid w:val="005a26e8"/>
    <w:rPr>
      <w:rFonts w:ascii="Times New Roman" w:hAnsi="Times New Roman" w:eastAsia="Times New Roman" w:cs="Times New Roman"/>
      <w:sz w:val="16"/>
      <w:szCs w:val="16"/>
    </w:rPr>
  </w:style>
  <w:style w:type="character" w:styleId="Tabulatory" w:customStyle="1">
    <w:name w:val="tabulatory"/>
    <w:basedOn w:val="DefaultParagraphFont"/>
    <w:qFormat/>
    <w:rsid w:val="00632dde"/>
    <w:rPr/>
  </w:style>
  <w:style w:type="character" w:styleId="TekstpodstawowyZnak" w:customStyle="1">
    <w:name w:val="Tekst podstawowy Znak"/>
    <w:basedOn w:val="DefaultParagraphFont"/>
    <w:qFormat/>
    <w:rsid w:val="00ee271a"/>
    <w:rPr/>
  </w:style>
  <w:style w:type="character" w:styleId="Text" w:customStyle="1">
    <w:name w:val="text"/>
    <w:basedOn w:val="DefaultParagraphFont"/>
    <w:qFormat/>
    <w:rsid w:val="00447651"/>
    <w:rPr/>
  </w:style>
  <w:style w:type="character" w:styleId="HTMLCite">
    <w:name w:val="HTML Cite"/>
    <w:qFormat/>
    <w:rsid w:val="00bb51cf"/>
    <w:rPr>
      <w:i/>
      <w:iCs/>
    </w:rPr>
  </w:style>
  <w:style w:type="character" w:styleId="Strong">
    <w:name w:val="Strong"/>
    <w:uiPriority w:val="22"/>
    <w:qFormat/>
    <w:rsid w:val="00b36013"/>
    <w:rPr>
      <w:b/>
      <w:bCs/>
    </w:rPr>
  </w:style>
  <w:style w:type="character" w:styleId="FontStyle51" w:customStyle="1">
    <w:name w:val="Font Style51"/>
    <w:uiPriority w:val="99"/>
    <w:qFormat/>
    <w:rsid w:val="005441ad"/>
    <w:rPr>
      <w:rFonts w:ascii="Palatino Linotype" w:hAnsi="Palatino Linotype" w:cs="Palatino Linotype"/>
      <w:color w:val="000000"/>
      <w:sz w:val="16"/>
      <w:szCs w:val="16"/>
    </w:rPr>
  </w:style>
  <w:style w:type="character" w:styleId="FontStyle52" w:customStyle="1">
    <w:name w:val="Font Style52"/>
    <w:qFormat/>
    <w:rsid w:val="00774bf5"/>
    <w:rPr>
      <w:rFonts w:ascii="Palatino Linotype" w:hAnsi="Palatino Linotype" w:cs="Palatino Linotype"/>
      <w:b/>
      <w:bCs/>
      <w:color w:val="000000"/>
      <w:sz w:val="16"/>
      <w:szCs w:val="16"/>
    </w:rPr>
  </w:style>
  <w:style w:type="character" w:styleId="ZwykytekstZnak" w:customStyle="1">
    <w:name w:val="Zwykły tekst Znak"/>
    <w:link w:val="PlainText"/>
    <w:uiPriority w:val="99"/>
    <w:qFormat/>
    <w:rsid w:val="007367f0"/>
    <w:rPr>
      <w:rFonts w:ascii="Consolas" w:hAnsi="Consolas" w:eastAsia="Calibri" w:cs="Times New Roman"/>
      <w:sz w:val="21"/>
      <w:szCs w:val="21"/>
      <w:lang w:eastAsia="en-US"/>
    </w:rPr>
  </w:style>
  <w:style w:type="character" w:styleId="WW8Num1z2" w:customStyle="1">
    <w:name w:val="WW8Num1z2"/>
    <w:qFormat/>
    <w:rsid w:val="00cb790a"/>
    <w:rPr/>
  </w:style>
  <w:style w:type="character" w:styleId="Tekstpodstawowy2Znak1" w:customStyle="1">
    <w:name w:val="Tekst podstawowy 2 Znak1"/>
    <w:uiPriority w:val="99"/>
    <w:qFormat/>
    <w:rsid w:val="00b2186c"/>
    <w:rPr>
      <w:lang w:eastAsia="zh-CN"/>
    </w:rPr>
  </w:style>
  <w:style w:type="character" w:styleId="DeltaViewInsertion" w:customStyle="1">
    <w:name w:val="DeltaView Insertion"/>
    <w:qFormat/>
    <w:rsid w:val="00fd1310"/>
    <w:rPr>
      <w:b/>
      <w:bCs w:val="false"/>
      <w:i/>
      <w:iCs w:val="false"/>
      <w:spacing w:val="0"/>
    </w:rPr>
  </w:style>
  <w:style w:type="character" w:styleId="Nagwek4Znak" w:customStyle="1">
    <w:name w:val="Nagłówek 4 Znak"/>
    <w:qFormat/>
    <w:rsid w:val="00b71dae"/>
    <w:rPr>
      <w:b/>
      <w:bCs/>
      <w:sz w:val="28"/>
      <w:szCs w:val="28"/>
    </w:rPr>
  </w:style>
  <w:style w:type="character" w:styleId="NagwekZnak" w:customStyle="1">
    <w:name w:val="Nagłówek Znak"/>
    <w:basedOn w:val="DefaultParagraphFont"/>
    <w:uiPriority w:val="99"/>
    <w:qFormat/>
    <w:rsid w:val="00b71dae"/>
    <w:rPr/>
  </w:style>
  <w:style w:type="character" w:styleId="TekstdymkaZnak" w:customStyle="1">
    <w:name w:val="Tekst dymka Znak"/>
    <w:link w:val="BalloonText"/>
    <w:semiHidden/>
    <w:qFormat/>
    <w:rsid w:val="00b71dae"/>
    <w:rPr>
      <w:rFonts w:ascii="Tahoma" w:hAnsi="Tahoma" w:cs="Tahoma"/>
      <w:sz w:val="16"/>
      <w:szCs w:val="16"/>
    </w:rPr>
  </w:style>
  <w:style w:type="character" w:styleId="FollowedHyperlink">
    <w:name w:val="FollowedHyperlink"/>
    <w:uiPriority w:val="99"/>
    <w:unhideWhenUsed/>
    <w:qFormat/>
    <w:rsid w:val="00b71dae"/>
    <w:rPr>
      <w:color w:val="800080"/>
      <w:u w:val="single"/>
    </w:rPr>
  </w:style>
  <w:style w:type="character" w:styleId="Uwydatnienie1" w:customStyle="1">
    <w:name w:val="Uwydatnienie1"/>
    <w:qFormat/>
    <w:rsid w:val="00457e61"/>
    <w:rPr>
      <w:i/>
      <w:iCs/>
    </w:rPr>
  </w:style>
  <w:style w:type="character" w:styleId="AkapitzlistZnak" w:customStyle="1">
    <w:name w:val="Akapit z listą Znak"/>
    <w:link w:val="ListParagraph"/>
    <w:qFormat/>
    <w:locked/>
    <w:rsid w:val="006d1fbd"/>
    <w:rPr>
      <w:lang w:eastAsia="ar-SA"/>
    </w:rPr>
  </w:style>
  <w:style w:type="character" w:styleId="Numerstrony1" w:customStyle="1">
    <w:name w:val="Numer strony1"/>
    <w:qFormat/>
    <w:rsid w:val="00f75dbf"/>
    <w:rPr/>
  </w:style>
  <w:style w:type="character" w:styleId="Nierozpoznanawzmianka1" w:customStyle="1">
    <w:name w:val="Nierozpoznana wzmianka1"/>
    <w:basedOn w:val="DefaultParagraphFont"/>
    <w:uiPriority w:val="99"/>
    <w:semiHidden/>
    <w:unhideWhenUsed/>
    <w:qFormat/>
    <w:rsid w:val="00cf7a22"/>
    <w:rPr>
      <w:color w:val="605E5C"/>
      <w:shd w:fill="E1DFDD" w:val="clear"/>
    </w:rPr>
  </w:style>
  <w:style w:type="character" w:styleId="TekstprzypisukocowegoZnak2" w:customStyle="1">
    <w:name w:val="Tekst przypisu końcowego Znak2"/>
    <w:qFormat/>
    <w:rsid w:val="005608bb"/>
    <w:rPr>
      <w:rFonts w:ascii="Cambria" w:hAnsi="Cambria" w:cs="Cambria"/>
      <w:lang w:eastAsia="ar-SA"/>
    </w:rPr>
  </w:style>
  <w:style w:type="character" w:styleId="TekstprzypisudolnegoZnak2" w:customStyle="1">
    <w:name w:val="Tekst przypisu dolnego Znak2"/>
    <w:uiPriority w:val="99"/>
    <w:qFormat/>
    <w:rsid w:val="005608bb"/>
    <w:rPr>
      <w:rFonts w:ascii="Cambria" w:hAnsi="Cambria" w:cs="Cambria"/>
      <w:lang w:eastAsia="ar-SA"/>
    </w:rPr>
  </w:style>
  <w:style w:type="character" w:styleId="Nierozpoznanawzmianka12" w:customStyle="1">
    <w:name w:val="Nierozpoznana wzmianka12"/>
    <w:basedOn w:val="DefaultParagraphFont"/>
    <w:uiPriority w:val="99"/>
    <w:semiHidden/>
    <w:unhideWhenUsed/>
    <w:qFormat/>
    <w:rsid w:val="005608bb"/>
    <w:rPr>
      <w:color w:val="605E5C"/>
      <w:shd w:fill="E1DFDD" w:val="clear"/>
    </w:rPr>
  </w:style>
  <w:style w:type="character" w:styleId="MapadokumentuZnak" w:customStyle="1">
    <w:name w:val="Mapa dokumentu Znak"/>
    <w:basedOn w:val="DefaultParagraphFont"/>
    <w:link w:val="DocumentMap"/>
    <w:semiHidden/>
    <w:qFormat/>
    <w:rsid w:val="005d486c"/>
    <w:rPr>
      <w:rFonts w:ascii="Tahoma" w:hAnsi="Tahoma" w:cs="Tahoma"/>
      <w:sz w:val="16"/>
      <w:szCs w:val="16"/>
    </w:rPr>
  </w:style>
  <w:style w:type="character" w:styleId="Bodytext58ptExact" w:customStyle="1">
    <w:name w:val="Body text (5) + 8 pt Exact"/>
    <w:qFormat/>
    <w:rsid w:val="00e36b54"/>
    <w:rPr>
      <w:rFonts w:ascii="Arial" w:hAnsi="Arial" w:eastAsia="Arial" w:cs="Arial"/>
      <w:sz w:val="16"/>
      <w:szCs w:val="16"/>
      <w:shd w:fill="FFFFFF" w:val="clear"/>
    </w:rPr>
  </w:style>
  <w:style w:type="character" w:styleId="Bodytext5" w:customStyle="1">
    <w:name w:val="Body text (5)_"/>
    <w:link w:val="Bodytext51"/>
    <w:qFormat/>
    <w:rsid w:val="00e36b54"/>
    <w:rPr>
      <w:rFonts w:ascii="Arial" w:hAnsi="Arial" w:eastAsia="Arial" w:cs="Arial"/>
      <w:sz w:val="17"/>
      <w:szCs w:val="17"/>
      <w:shd w:fill="FFFFFF" w:val="clear"/>
    </w:rPr>
  </w:style>
  <w:style w:type="character" w:styleId="ZawartotabeliZnak" w:customStyle="1">
    <w:name w:val="Zawartość tabeli Znak"/>
    <w:basedOn w:val="DefaultParagraphFont"/>
    <w:link w:val="Zawartotabeli"/>
    <w:qFormat/>
    <w:locked/>
    <w:rsid w:val="00a543a5"/>
    <w:rPr>
      <w:rFonts w:ascii="Arial Narrow" w:hAnsi="Arial Narrow" w:cs="Arial"/>
      <w:bCs/>
      <w:szCs w:val="16"/>
    </w:rPr>
  </w:style>
  <w:style w:type="character" w:styleId="TytuZnak" w:customStyle="1">
    <w:name w:val="Tytuł Znak"/>
    <w:basedOn w:val="DefaultParagraphFont"/>
    <w:uiPriority w:val="10"/>
    <w:qFormat/>
    <w:rsid w:val="00406fa7"/>
    <w:rPr>
      <w:rFonts w:ascii="Cambria" w:hAnsi="Cambria" w:eastAsia="" w:cs="" w:asciiTheme="majorHAnsi" w:cstheme="majorBidi" w:eastAsiaTheme="majorEastAsia" w:hAnsiTheme="majorHAnsi"/>
      <w:spacing w:val="-10"/>
      <w:kern w:val="2"/>
      <w:sz w:val="56"/>
      <w:szCs w:val="56"/>
      <w:lang w:eastAsia="en-US"/>
    </w:rPr>
  </w:style>
  <w:style w:type="character" w:styleId="PodtytuZnak" w:customStyle="1">
    <w:name w:val="Podtytuł Znak"/>
    <w:basedOn w:val="DefaultParagraphFont"/>
    <w:uiPriority w:val="11"/>
    <w:qFormat/>
    <w:rsid w:val="00406fa7"/>
    <w:rPr>
      <w:rFonts w:ascii="Calibri" w:hAnsi="Calibri" w:eastAsia="" w:cs="" w:asciiTheme="minorHAnsi" w:cstheme="minorBidi" w:eastAsiaTheme="minorEastAsia" w:hAnsiTheme="minorHAnsi"/>
      <w:color w:val="5A5A5A" w:themeColor="text1" w:themeTint="a5"/>
      <w:spacing w:val="15"/>
      <w:sz w:val="22"/>
      <w:szCs w:val="22"/>
      <w:lang w:eastAsia="en-US"/>
    </w:rPr>
  </w:style>
  <w:style w:type="character" w:styleId="Gwpcfe742dcred" w:customStyle="1">
    <w:name w:val="gwpcfe742dc_red"/>
    <w:basedOn w:val="DefaultParagraphFont"/>
    <w:qFormat/>
    <w:rsid w:val="00406fa7"/>
    <w:rPr/>
  </w:style>
  <w:style w:type="character" w:styleId="Nierozpoznanawzmianka2" w:customStyle="1">
    <w:name w:val="Nierozpoznana wzmianka2"/>
    <w:basedOn w:val="DefaultParagraphFont"/>
    <w:uiPriority w:val="99"/>
    <w:semiHidden/>
    <w:qFormat/>
    <w:rsid w:val="00654233"/>
    <w:rPr>
      <w:color w:val="605E5C"/>
      <w:shd w:fill="E1DFDD" w:val="clear"/>
    </w:rPr>
  </w:style>
  <w:style w:type="character" w:styleId="Gwp6d63f1acsize" w:customStyle="1">
    <w:name w:val="gwp6d63f1ac_size"/>
    <w:basedOn w:val="DefaultParagraphFont"/>
    <w:qFormat/>
    <w:rsid w:val="00b877a3"/>
    <w:rPr/>
  </w:style>
  <w:style w:type="character" w:styleId="Styl8Znak" w:customStyle="1">
    <w:name w:val="Styl8 Znak"/>
    <w:basedOn w:val="DefaultParagraphFont"/>
    <w:link w:val="Styl8"/>
    <w:qFormat/>
    <w:locked/>
    <w:rsid w:val="00946722"/>
    <w:rPr>
      <w:rFonts w:ascii="Arial Narrow" w:hAnsi="Arial Narrow" w:cs="Arial"/>
      <w:b/>
      <w:sz w:val="22"/>
      <w:szCs w:val="22"/>
    </w:rPr>
  </w:style>
  <w:style w:type="character" w:styleId="Styl6Znak" w:customStyle="1">
    <w:name w:val="Styl6 Znak"/>
    <w:basedOn w:val="DefaultParagraphFont"/>
    <w:link w:val="Styl6"/>
    <w:qFormat/>
    <w:rsid w:val="00e824ce"/>
    <w:rPr>
      <w:rFonts w:ascii="Arial Narrow" w:hAnsi="Arial Narrow" w:cs="Arial"/>
      <w:b/>
      <w:bCs/>
      <w:sz w:val="22"/>
      <w:szCs w:val="22"/>
    </w:rPr>
  </w:style>
  <w:style w:type="character" w:styleId="DEMIURGPunktator1Znak" w:customStyle="1">
    <w:name w:val="DEMIURG Punktator 1 Znak"/>
    <w:link w:val="DEMIURGPunktator1"/>
    <w:qFormat/>
    <w:locked/>
    <w:rsid w:val="00613259"/>
    <w:rPr>
      <w:rFonts w:ascii="Century Gothic" w:hAnsi="Century Gothic" w:eastAsia="Calibri"/>
      <w:b/>
      <w:szCs w:val="22"/>
      <w:lang w:eastAsia="en-US"/>
    </w:rPr>
  </w:style>
  <w:style w:type="character" w:styleId="Nierozpoznanawzmianka11" w:customStyle="1">
    <w:name w:val="Nierozpoznana wzmianka11"/>
    <w:basedOn w:val="DefaultParagraphFont"/>
    <w:uiPriority w:val="99"/>
    <w:semiHidden/>
    <w:unhideWhenUsed/>
    <w:qFormat/>
    <w:rsid w:val="00f36873"/>
    <w:rPr>
      <w:color w:val="605E5C"/>
      <w:shd w:fill="E1DFDD" w:val="clear"/>
    </w:rPr>
  </w:style>
  <w:style w:type="character" w:styleId="Nierozpoznanawzmianka3" w:customStyle="1">
    <w:name w:val="Nierozpoznana wzmianka3"/>
    <w:basedOn w:val="DefaultParagraphFont"/>
    <w:uiPriority w:val="99"/>
    <w:semiHidden/>
    <w:unhideWhenUsed/>
    <w:qFormat/>
    <w:rsid w:val="00f36873"/>
    <w:rPr>
      <w:color w:val="605E5C"/>
      <w:shd w:fill="E1DFDD" w:val="clear"/>
    </w:rPr>
  </w:style>
  <w:style w:type="character" w:styleId="Domylnaczcionkaakapitu3" w:customStyle="1">
    <w:name w:val="Domyślna czcionka akapitu3"/>
    <w:qFormat/>
    <w:rsid w:val="00610fdd"/>
    <w:rPr/>
  </w:style>
  <w:style w:type="character" w:styleId="UnresolvedMention" w:customStyle="1">
    <w:name w:val="Unresolved Mention"/>
    <w:basedOn w:val="DefaultParagraphFont"/>
    <w:uiPriority w:val="99"/>
    <w:semiHidden/>
    <w:unhideWhenUsed/>
    <w:qFormat/>
    <w:rsid w:val="003b07d1"/>
    <w:rPr>
      <w:color w:val="605E5C"/>
      <w:shd w:fill="E1DFDD" w:val="clear"/>
    </w:rPr>
  </w:style>
  <w:style w:type="character" w:styleId="Czeindeksu" w:customStyle="1">
    <w:name w:val="Łącze indeksu"/>
    <w:qFormat/>
    <w:rPr/>
  </w:style>
  <w:style w:type="character" w:styleId="Znakinumeracji" w:customStyle="1">
    <w:name w:val="Znaki numeracji"/>
    <w:qFormat/>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Courier New"/>
    </w:rPr>
  </w:style>
  <w:style w:type="character" w:styleId="ListLabel8">
    <w:name w:val="ListLabel 8"/>
    <w:qFormat/>
    <w:rPr>
      <w:rFonts w:cs="Wingdings"/>
    </w:rPr>
  </w:style>
  <w:style w:type="character" w:styleId="ListLabel9">
    <w:name w:val="ListLabel 9"/>
    <w:qFormat/>
    <w:rPr>
      <w:rFonts w:cs="Symbol"/>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rFonts w:cs="Symbol"/>
    </w:rPr>
  </w:style>
  <w:style w:type="character" w:styleId="ListLabel13">
    <w:name w:val="ListLabel 13"/>
    <w:qFormat/>
    <w:rPr>
      <w:rFonts w:cs="Courier New"/>
    </w:rPr>
  </w:style>
  <w:style w:type="character" w:styleId="ListLabel14">
    <w:name w:val="ListLabel 14"/>
    <w:qFormat/>
    <w:rPr>
      <w:rFonts w:cs="Wingdings"/>
    </w:rPr>
  </w:style>
  <w:style w:type="character" w:styleId="ListLabel15">
    <w:name w:val="ListLabel 15"/>
    <w:qFormat/>
    <w:rPr>
      <w:b/>
    </w:rPr>
  </w:style>
  <w:style w:type="character" w:styleId="ListLabel16">
    <w:name w:val="ListLabel 16"/>
    <w:qFormat/>
    <w:rPr>
      <w:b w:val="false"/>
      <w:color w:val="00000A"/>
      <w:sz w:val="22"/>
      <w:szCs w:val="22"/>
    </w:rPr>
  </w:style>
  <w:style w:type="character" w:styleId="ListLabel17">
    <w:name w:val="ListLabel 17"/>
    <w:qFormat/>
    <w:rPr>
      <w:b w:val="false"/>
      <w:color w:val="00000A"/>
      <w:sz w:val="22"/>
      <w:szCs w:val="22"/>
    </w:rPr>
  </w:style>
  <w:style w:type="character" w:styleId="ListLabel18">
    <w:name w:val="ListLabel 18"/>
    <w:qFormat/>
    <w:rPr>
      <w:b w:val="false"/>
      <w:color w:val="00000A"/>
      <w:sz w:val="22"/>
    </w:rPr>
  </w:style>
  <w:style w:type="character" w:styleId="ListLabel19">
    <w:name w:val="ListLabel 19"/>
    <w:qFormat/>
    <w:rPr>
      <w:sz w:val="22"/>
    </w:rPr>
  </w:style>
  <w:style w:type="character" w:styleId="ListLabel20">
    <w:name w:val="ListLabel 20"/>
    <w:qFormat/>
    <w:rPr>
      <w:sz w:val="22"/>
      <w:szCs w:val="22"/>
    </w:rPr>
  </w:style>
  <w:style w:type="character" w:styleId="ListLabel21">
    <w:name w:val="ListLabel 21"/>
    <w:qFormat/>
    <w:rPr>
      <w:b w:val="false"/>
      <w:color w:val="00000A"/>
      <w:sz w:val="22"/>
    </w:rPr>
  </w:style>
  <w:style w:type="character" w:styleId="ListLabel22">
    <w:name w:val="ListLabel 22"/>
    <w:qFormat/>
    <w:rPr>
      <w:b w:val="false"/>
      <w:bCs w:val="false"/>
    </w:rPr>
  </w:style>
  <w:style w:type="character" w:styleId="ListLabel23">
    <w:name w:val="ListLabel 23"/>
    <w:qFormat/>
    <w:rPr>
      <w:rFonts w:ascii="Arial Narrow" w:hAnsi="Arial Narrow"/>
      <w:b/>
      <w:sz w:val="22"/>
    </w:rPr>
  </w:style>
  <w:style w:type="character" w:styleId="ListLabel24">
    <w:name w:val="ListLabel 24"/>
    <w:qFormat/>
    <w:rPr>
      <w:rFonts w:ascii="Arial Narrow" w:hAnsi="Arial Narrow"/>
      <w:b w:val="false"/>
      <w:sz w:val="22"/>
    </w:rPr>
  </w:style>
  <w:style w:type="character" w:styleId="ListLabel25">
    <w:name w:val="ListLabel 25"/>
    <w:qFormat/>
    <w:rPr>
      <w:rFonts w:ascii="Arial Narrow" w:hAnsi="Arial Narrow"/>
      <w:b w:val="false"/>
      <w:sz w:val="22"/>
    </w:rPr>
  </w:style>
  <w:style w:type="character" w:styleId="ListLabel26">
    <w:name w:val="ListLabel 26"/>
    <w:qFormat/>
    <w:rPr>
      <w:rFonts w:ascii="Arial Narrow" w:hAnsi="Arial Narrow"/>
      <w:b w:val="false"/>
      <w:sz w:val="22"/>
    </w:rPr>
  </w:style>
  <w:style w:type="character" w:styleId="ListLabel27">
    <w:name w:val="ListLabel 27"/>
    <w:qFormat/>
    <w:rPr>
      <w:rFonts w:ascii="Arial Narrow" w:hAnsi="Arial Narrow"/>
      <w:sz w:val="22"/>
    </w:rPr>
  </w:style>
  <w:style w:type="character" w:styleId="ListLabel28">
    <w:name w:val="ListLabel 28"/>
    <w:qFormat/>
    <w:rPr>
      <w:sz w:val="22"/>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rsid w:val="00874f4f"/>
    <w:pPr>
      <w:spacing w:before="0" w:after="120"/>
    </w:pPr>
    <w:rPr/>
  </w:style>
  <w:style w:type="paragraph" w:styleId="Lista">
    <w:name w:val="List"/>
    <w:basedOn w:val="Tretekstu"/>
    <w:rsid w:val="006b4495"/>
    <w:pPr>
      <w:ind w:left="0" w:hanging="0"/>
      <w:jc w:val="left"/>
    </w:pPr>
    <w:rPr>
      <w:lang w:eastAsia="ar-SA"/>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Gwka">
    <w:name w:val="Header"/>
    <w:basedOn w:val="Normal"/>
    <w:next w:val="Tretekstu"/>
    <w:link w:val="NagwekZnak"/>
    <w:uiPriority w:val="99"/>
    <w:qFormat/>
    <w:rsid w:val="00bd7b46"/>
    <w:pPr>
      <w:tabs>
        <w:tab w:val="center" w:pos="4536" w:leader="none"/>
        <w:tab w:val="right" w:pos="9072" w:leader="none"/>
      </w:tabs>
    </w:pPr>
    <w:rPr/>
  </w:style>
  <w:style w:type="paragraph" w:styleId="Caption1">
    <w:name w:val="caption1"/>
    <w:basedOn w:val="Normal"/>
    <w:qFormat/>
    <w:pPr>
      <w:suppressLineNumbers/>
      <w:spacing w:before="120" w:after="120"/>
    </w:pPr>
    <w:rPr>
      <w:rFonts w:cs="Arial"/>
      <w:i/>
      <w:iCs/>
      <w:sz w:val="24"/>
      <w:szCs w:val="24"/>
    </w:rPr>
  </w:style>
  <w:style w:type="paragraph" w:styleId="Pkt" w:customStyle="1">
    <w:name w:val="pkt"/>
    <w:basedOn w:val="Normal"/>
    <w:qFormat/>
    <w:rsid w:val="00271990"/>
    <w:pPr>
      <w:spacing w:before="60" w:after="60"/>
      <w:ind w:left="851" w:hanging="295"/>
    </w:pPr>
    <w:rPr>
      <w:sz w:val="24"/>
    </w:rPr>
  </w:style>
  <w:style w:type="paragraph" w:styleId="BodyText2">
    <w:name w:val="Body Text 2"/>
    <w:basedOn w:val="Normal"/>
    <w:link w:val="Tekstpodstawowy2Znak"/>
    <w:qFormat/>
    <w:rsid w:val="00ec09aa"/>
    <w:pPr>
      <w:jc w:val="right"/>
    </w:pPr>
    <w:rPr>
      <w:rFonts w:ascii="Arial Narrow" w:hAnsi="Arial Narrow"/>
      <w:sz w:val="22"/>
    </w:rPr>
  </w:style>
  <w:style w:type="paragraph" w:styleId="Wcicietrecitekstu">
    <w:name w:val="Body Text Indent"/>
    <w:basedOn w:val="Normal"/>
    <w:link w:val="TekstpodstawowywcityZnak"/>
    <w:rsid w:val="00ce01c5"/>
    <w:pPr>
      <w:spacing w:before="0" w:after="120"/>
      <w:ind w:left="283" w:hanging="425"/>
    </w:pPr>
    <w:rPr/>
  </w:style>
  <w:style w:type="paragraph" w:styleId="Stopka">
    <w:name w:val="Footer"/>
    <w:basedOn w:val="Normal"/>
    <w:link w:val="StopkaZnak"/>
    <w:uiPriority w:val="99"/>
    <w:rsid w:val="00bd7b46"/>
    <w:pPr>
      <w:tabs>
        <w:tab w:val="center" w:pos="4536" w:leader="none"/>
        <w:tab w:val="right" w:pos="9072" w:leader="none"/>
      </w:tabs>
    </w:pPr>
    <w:rPr/>
  </w:style>
  <w:style w:type="paragraph" w:styleId="BalloonText">
    <w:name w:val="Balloon Text"/>
    <w:basedOn w:val="Normal"/>
    <w:link w:val="TekstdymkaZnak"/>
    <w:semiHidden/>
    <w:qFormat/>
    <w:rsid w:val="00c3311c"/>
    <w:pPr/>
    <w:rPr>
      <w:rFonts w:ascii="Tahoma" w:hAnsi="Tahoma"/>
      <w:sz w:val="16"/>
      <w:szCs w:val="16"/>
    </w:rPr>
  </w:style>
  <w:style w:type="paragraph" w:styleId="Standardowy1" w:customStyle="1">
    <w:name w:val="Standardowy1"/>
    <w:qFormat/>
    <w:rsid w:val="009b0640"/>
    <w:pPr>
      <w:widowControl/>
      <w:suppressAutoHyphens w:val="true"/>
      <w:bidi w:val="0"/>
      <w:spacing w:before="0" w:after="0"/>
      <w:ind w:left="425" w:hanging="425"/>
      <w:jc w:val="both"/>
    </w:pPr>
    <w:rPr>
      <w:rFonts w:ascii="Times New Roman" w:hAnsi="Times New Roman" w:eastAsia="Arial" w:cs="Times New Roman"/>
      <w:color w:val="00000A"/>
      <w:kern w:val="0"/>
      <w:sz w:val="24"/>
      <w:szCs w:val="20"/>
      <w:lang w:val="pl-PL" w:eastAsia="ar-SA" w:bidi="ar-SA"/>
    </w:rPr>
  </w:style>
  <w:style w:type="paragraph" w:styleId="ProPublico" w:customStyle="1">
    <w:name w:val="ProPublico"/>
    <w:qFormat/>
    <w:rsid w:val="001c38db"/>
    <w:pPr>
      <w:widowControl/>
      <w:suppressAutoHyphens w:val="true"/>
      <w:bidi w:val="0"/>
      <w:spacing w:lineRule="auto" w:line="360" w:before="0" w:after="0"/>
      <w:jc w:val="both"/>
    </w:pPr>
    <w:rPr>
      <w:rFonts w:ascii="Arial" w:hAnsi="Arial" w:eastAsia="Times New Roman" w:cs="Times New Roman"/>
      <w:color w:val="00000A"/>
      <w:kern w:val="0"/>
      <w:sz w:val="22"/>
      <w:szCs w:val="20"/>
      <w:lang w:val="pl-PL" w:eastAsia="ar-SA" w:bidi="ar-SA"/>
    </w:rPr>
  </w:style>
  <w:style w:type="paragraph" w:styleId="BodyTextIndent2">
    <w:name w:val="Body Text Indent 2"/>
    <w:basedOn w:val="Normal"/>
    <w:link w:val="Tekstpodstawowywcity2Znak"/>
    <w:qFormat/>
    <w:rsid w:val="00944262"/>
    <w:pPr>
      <w:spacing w:lineRule="auto" w:line="480" w:before="0" w:after="120"/>
      <w:ind w:left="283" w:hanging="425"/>
    </w:pPr>
    <w:rPr/>
  </w:style>
  <w:style w:type="paragraph" w:styleId="BodyTextIndent3">
    <w:name w:val="Body Text Indent 3"/>
    <w:basedOn w:val="Normal"/>
    <w:link w:val="Tekstpodstawowywcity3Znak"/>
    <w:qFormat/>
    <w:rsid w:val="006b4495"/>
    <w:pPr>
      <w:spacing w:before="0" w:after="120"/>
      <w:ind w:left="283" w:hanging="425"/>
    </w:pPr>
    <w:rPr>
      <w:sz w:val="16"/>
      <w:szCs w:val="16"/>
    </w:rPr>
  </w:style>
  <w:style w:type="paragraph" w:styleId="NormalWeb">
    <w:name w:val="Normal (Web)"/>
    <w:basedOn w:val="Normal"/>
    <w:uiPriority w:val="99"/>
    <w:qFormat/>
    <w:rsid w:val="006b4495"/>
    <w:pPr>
      <w:spacing w:before="100" w:after="100"/>
      <w:ind w:left="0" w:hanging="0"/>
    </w:pPr>
    <w:rPr>
      <w:rFonts w:ascii="Arial Unicode MS" w:hAnsi="Arial Unicode MS" w:eastAsia="Arial Unicode MS" w:cs="Arial Unicode MS"/>
      <w:lang w:eastAsia="ar-SA"/>
    </w:rPr>
  </w:style>
  <w:style w:type="paragraph" w:styleId="Default" w:customStyle="1">
    <w:name w:val="Default"/>
    <w:qFormat/>
    <w:rsid w:val="00a41922"/>
    <w:pPr>
      <w:widowControl/>
      <w:suppressAutoHyphens w:val="true"/>
      <w:bidi w:val="0"/>
      <w:spacing w:before="0" w:after="0"/>
      <w:ind w:left="567" w:hanging="567"/>
      <w:jc w:val="both"/>
    </w:pPr>
    <w:rPr>
      <w:rFonts w:ascii="Times New Roman" w:hAnsi="Times New Roman" w:eastAsia="Times New Roman" w:cs="Times New Roman"/>
      <w:color w:val="000000"/>
      <w:kern w:val="0"/>
      <w:sz w:val="24"/>
      <w:szCs w:val="24"/>
      <w:lang w:val="pl-PL" w:eastAsia="pl-PL" w:bidi="ar-SA"/>
    </w:rPr>
  </w:style>
  <w:style w:type="paragraph" w:styleId="Ust" w:customStyle="1">
    <w:name w:val="ust"/>
    <w:basedOn w:val="Default"/>
    <w:next w:val="Default"/>
    <w:uiPriority w:val="99"/>
    <w:qFormat/>
    <w:rsid w:val="00a41922"/>
    <w:pPr/>
    <w:rPr>
      <w:color w:val="00000A"/>
    </w:rPr>
  </w:style>
  <w:style w:type="paragraph" w:styleId="ListParagraph">
    <w:name w:val="List Paragraph"/>
    <w:basedOn w:val="Normal"/>
    <w:link w:val="AkapitzlistZnak"/>
    <w:qFormat/>
    <w:rsid w:val="00a57062"/>
    <w:pPr>
      <w:spacing w:before="0" w:after="0"/>
      <w:ind w:left="720" w:hanging="0"/>
      <w:contextualSpacing/>
      <w:jc w:val="left"/>
    </w:pPr>
    <w:rPr>
      <w:lang w:eastAsia="ar-SA"/>
    </w:rPr>
  </w:style>
  <w:style w:type="paragraph" w:styleId="Przypiskocowy">
    <w:name w:val="Endnote Text"/>
    <w:basedOn w:val="Normal"/>
    <w:link w:val="TekstprzypisukocowegoZnak"/>
    <w:rsid w:val="007b53a9"/>
    <w:pPr/>
    <w:rPr/>
  </w:style>
  <w:style w:type="paragraph" w:styleId="Tekstpodstawowy31" w:customStyle="1">
    <w:name w:val="Tekst podstawowy 31"/>
    <w:basedOn w:val="Normal"/>
    <w:qFormat/>
    <w:rsid w:val="00312147"/>
    <w:pPr>
      <w:ind w:left="0" w:hanging="0"/>
    </w:pPr>
    <w:rPr>
      <w:rFonts w:ascii="Garamond" w:hAnsi="Garamond"/>
      <w:b/>
      <w:bCs/>
      <w:sz w:val="28"/>
      <w:lang w:eastAsia="ar-SA"/>
    </w:rPr>
  </w:style>
  <w:style w:type="paragraph" w:styleId="Annotationtext">
    <w:name w:val="annotation text"/>
    <w:basedOn w:val="Normal"/>
    <w:link w:val="TekstkomentarzaZnak"/>
    <w:qFormat/>
    <w:rsid w:val="001c064a"/>
    <w:pPr/>
    <w:rPr/>
  </w:style>
  <w:style w:type="paragraph" w:styleId="Annotationsubject">
    <w:name w:val="annotation subject"/>
    <w:basedOn w:val="Annotationtext"/>
    <w:link w:val="TematkomentarzaZnak"/>
    <w:qFormat/>
    <w:rsid w:val="001c064a"/>
    <w:pPr/>
    <w:rPr>
      <w:b/>
      <w:bCs/>
    </w:rPr>
  </w:style>
  <w:style w:type="paragraph" w:styleId="Przypisdolny">
    <w:name w:val="Footnote Text"/>
    <w:basedOn w:val="Normal"/>
    <w:link w:val="TekstprzypisudolnegoZnak"/>
    <w:rsid w:val="002d2bd5"/>
    <w:pPr>
      <w:ind w:left="0" w:hanging="0"/>
      <w:jc w:val="left"/>
    </w:pPr>
    <w:rPr/>
  </w:style>
  <w:style w:type="paragraph" w:styleId="Tekstpodstawowy21" w:customStyle="1">
    <w:name w:val="Tekst podstawowy 21"/>
    <w:basedOn w:val="Normal"/>
    <w:qFormat/>
    <w:rsid w:val="007d43c5"/>
    <w:pPr/>
    <w:rPr>
      <w:sz w:val="24"/>
      <w:lang w:eastAsia="ar-SA"/>
    </w:rPr>
  </w:style>
  <w:style w:type="paragraph" w:styleId="Tekstpodstawowywcity21" w:customStyle="1">
    <w:name w:val="Tekst podstawowy wcięty 21"/>
    <w:basedOn w:val="Normal"/>
    <w:qFormat/>
    <w:rsid w:val="007d43c5"/>
    <w:pPr>
      <w:spacing w:lineRule="auto" w:line="480" w:before="0" w:after="120"/>
      <w:ind w:left="283" w:hanging="425"/>
    </w:pPr>
    <w:rPr>
      <w:lang w:eastAsia="ar-SA"/>
    </w:rPr>
  </w:style>
  <w:style w:type="paragraph" w:styleId="Tekstpodstawowywcity31" w:customStyle="1">
    <w:name w:val="Tekst podstawowy wcięty 31"/>
    <w:basedOn w:val="Normal"/>
    <w:qFormat/>
    <w:rsid w:val="007d43c5"/>
    <w:pPr>
      <w:spacing w:before="0" w:after="120"/>
      <w:ind w:left="283" w:hanging="425"/>
    </w:pPr>
    <w:rPr>
      <w:sz w:val="16"/>
      <w:szCs w:val="16"/>
      <w:lang w:eastAsia="ar-SA"/>
    </w:rPr>
  </w:style>
  <w:style w:type="paragraph" w:styleId="NoSpacing">
    <w:name w:val="No Spacing"/>
    <w:link w:val="BezodstpwZnak"/>
    <w:uiPriority w:val="1"/>
    <w:qFormat/>
    <w:rsid w:val="004420bf"/>
    <w:pPr>
      <w:widowControl/>
      <w:suppressAutoHyphens w:val="true"/>
      <w:bidi w:val="0"/>
      <w:spacing w:before="0" w:after="0"/>
      <w:jc w:val="left"/>
    </w:pPr>
    <w:rPr>
      <w:rFonts w:ascii="Calibri" w:hAnsi="Calibri" w:eastAsia="Times New Roman" w:cs="Times New Roman"/>
      <w:color w:val="00000A"/>
      <w:kern w:val="0"/>
      <w:sz w:val="22"/>
      <w:szCs w:val="22"/>
      <w:lang w:val="pl-PL" w:eastAsia="en-US" w:bidi="ar-SA"/>
    </w:rPr>
  </w:style>
  <w:style w:type="paragraph" w:styleId="Tekstpodstawowy22" w:customStyle="1">
    <w:name w:val="Tekst podstawowy 22"/>
    <w:basedOn w:val="Normal"/>
    <w:qFormat/>
    <w:rsid w:val="005a26e8"/>
    <w:pPr/>
    <w:rPr>
      <w:rFonts w:cs="Calibri"/>
      <w:sz w:val="24"/>
      <w:lang w:eastAsia="ar-SA"/>
    </w:rPr>
  </w:style>
  <w:style w:type="paragraph" w:styleId="ZnakZnakZnak" w:customStyle="1">
    <w:name w:val="Znak Znak Znak"/>
    <w:basedOn w:val="Normal"/>
    <w:qFormat/>
    <w:rsid w:val="007204a0"/>
    <w:pPr>
      <w:tabs>
        <w:tab w:val="left" w:pos="709" w:leader="none"/>
      </w:tabs>
      <w:ind w:left="0" w:hanging="0"/>
      <w:jc w:val="left"/>
    </w:pPr>
    <w:rPr>
      <w:rFonts w:ascii="Tahoma" w:hAnsi="Tahoma"/>
      <w:sz w:val="24"/>
      <w:szCs w:val="24"/>
    </w:rPr>
  </w:style>
  <w:style w:type="paragraph" w:styleId="Style35" w:customStyle="1">
    <w:name w:val="Style35"/>
    <w:basedOn w:val="Normal"/>
    <w:uiPriority w:val="99"/>
    <w:qFormat/>
    <w:rsid w:val="00774bf5"/>
    <w:pPr>
      <w:widowControl w:val="false"/>
      <w:spacing w:lineRule="exact" w:line="235"/>
      <w:ind w:left="0" w:hanging="269"/>
    </w:pPr>
    <w:rPr>
      <w:rFonts w:ascii="Palatino Linotype" w:hAnsi="Palatino Linotype"/>
      <w:sz w:val="24"/>
      <w:szCs w:val="24"/>
    </w:rPr>
  </w:style>
  <w:style w:type="paragraph" w:styleId="PlainText">
    <w:name w:val="Plain Text"/>
    <w:basedOn w:val="Normal"/>
    <w:link w:val="ZwykytekstZnak"/>
    <w:uiPriority w:val="99"/>
    <w:unhideWhenUsed/>
    <w:qFormat/>
    <w:rsid w:val="007367f0"/>
    <w:pPr>
      <w:ind w:left="0" w:hanging="0"/>
      <w:jc w:val="left"/>
    </w:pPr>
    <w:rPr>
      <w:rFonts w:ascii="Consolas" w:hAnsi="Consolas" w:eastAsia="Calibri"/>
      <w:sz w:val="21"/>
      <w:szCs w:val="21"/>
      <w:lang w:eastAsia="en-US"/>
    </w:rPr>
  </w:style>
  <w:style w:type="paragraph" w:styleId="Styl2" w:customStyle="1">
    <w:name w:val="Styl2"/>
    <w:basedOn w:val="Normal"/>
    <w:qFormat/>
    <w:rsid w:val="00ca5eb2"/>
    <w:pPr>
      <w:tabs>
        <w:tab w:val="left" w:pos="709" w:leader="none"/>
        <w:tab w:val="left" w:pos="3259" w:leader="none"/>
      </w:tabs>
      <w:spacing w:lineRule="auto" w:line="252" w:before="0" w:after="240"/>
      <w:ind w:left="709" w:hanging="709"/>
    </w:pPr>
    <w:rPr>
      <w:rFonts w:ascii="Verdana" w:hAnsi="Verdana"/>
      <w:b/>
      <w:sz w:val="17"/>
      <w:szCs w:val="17"/>
    </w:rPr>
  </w:style>
  <w:style w:type="paragraph" w:styleId="Tekstpodstawowy24" w:customStyle="1">
    <w:name w:val="Tekst podstawowy 24"/>
    <w:basedOn w:val="Normal"/>
    <w:qFormat/>
    <w:rsid w:val="00ca5eb2"/>
    <w:pPr/>
    <w:rPr>
      <w:sz w:val="24"/>
      <w:lang w:eastAsia="zh-CN"/>
    </w:rPr>
  </w:style>
  <w:style w:type="paragraph" w:styleId="Normalny1" w:customStyle="1">
    <w:name w:val="Normalny1"/>
    <w:basedOn w:val="Normal"/>
    <w:qFormat/>
    <w:rsid w:val="00003dea"/>
    <w:pPr>
      <w:widowControl w:val="false"/>
      <w:spacing w:lineRule="atLeast" w:line="200"/>
      <w:ind w:left="0" w:hanging="0"/>
      <w:jc w:val="left"/>
    </w:pPr>
    <w:rPr>
      <w:color w:val="000000"/>
      <w:sz w:val="24"/>
      <w:szCs w:val="24"/>
      <w:lang w:eastAsia="hi-IN" w:bidi="hi-IN"/>
    </w:rPr>
  </w:style>
  <w:style w:type="paragraph" w:styleId="Standard" w:customStyle="1">
    <w:name w:val="Standard"/>
    <w:qFormat/>
    <w:rsid w:val="007a1755"/>
    <w:pPr>
      <w:widowControl w:val="false"/>
      <w:suppressAutoHyphens w:val="true"/>
      <w:bidi w:val="0"/>
      <w:spacing w:before="0" w:after="0"/>
      <w:jc w:val="left"/>
    </w:pPr>
    <w:rPr>
      <w:rFonts w:ascii="Times New Roman" w:hAnsi="Times New Roman" w:eastAsia="SimSun" w:cs="Mangal"/>
      <w:color w:val="00000A"/>
      <w:kern w:val="2"/>
      <w:sz w:val="24"/>
      <w:szCs w:val="24"/>
      <w:lang w:val="pl-PL" w:eastAsia="hi-IN" w:bidi="hi-IN"/>
    </w:rPr>
  </w:style>
  <w:style w:type="paragraph" w:styleId="ContentsHeading" w:customStyle="1">
    <w:name w:val="Contents Heading"/>
    <w:basedOn w:val="Normal"/>
    <w:qFormat/>
    <w:rsid w:val="007a1755"/>
    <w:pPr>
      <w:keepNext w:val="true"/>
      <w:widowControl w:val="false"/>
      <w:suppressLineNumbers/>
      <w:spacing w:before="240" w:after="120"/>
      <w:ind w:left="0" w:hanging="0"/>
      <w:jc w:val="left"/>
    </w:pPr>
    <w:rPr>
      <w:rFonts w:ascii="Arial" w:hAnsi="Arial" w:eastAsia="Microsoft YaHei" w:cs="Mangal"/>
      <w:b/>
      <w:bCs/>
      <w:kern w:val="2"/>
      <w:sz w:val="32"/>
      <w:szCs w:val="32"/>
      <w:lang w:eastAsia="hi-IN" w:bidi="hi-IN"/>
    </w:rPr>
  </w:style>
  <w:style w:type="paragraph" w:styleId="Akapitzlist1" w:customStyle="1">
    <w:name w:val="Akapit z listą1"/>
    <w:basedOn w:val="Standard"/>
    <w:qFormat/>
    <w:rsid w:val="007a1755"/>
    <w:pPr/>
    <w:rPr/>
  </w:style>
  <w:style w:type="paragraph" w:styleId="Akapitzlist11" w:customStyle="1">
    <w:name w:val="Akapit z listą11"/>
    <w:basedOn w:val="Normal"/>
    <w:qFormat/>
    <w:rsid w:val="00e76d5c"/>
    <w:pPr>
      <w:spacing w:lineRule="auto" w:line="276" w:before="0" w:after="200"/>
      <w:ind w:left="720" w:hanging="0"/>
      <w:jc w:val="left"/>
    </w:pPr>
    <w:rPr>
      <w:rFonts w:ascii="Calibri" w:hAnsi="Calibri" w:cs="Calibri"/>
      <w:sz w:val="22"/>
      <w:szCs w:val="22"/>
      <w:lang w:eastAsia="zh-CN"/>
    </w:rPr>
  </w:style>
  <w:style w:type="paragraph" w:styleId="Domylnie" w:customStyle="1">
    <w:name w:val="Domyślnie"/>
    <w:qFormat/>
    <w:rsid w:val="004e4eb7"/>
    <w:pPr>
      <w:widowControl w:val="false"/>
      <w:suppressAutoHyphens w:val="true"/>
      <w:bidi w:val="0"/>
      <w:spacing w:lineRule="atLeast" w:line="100" w:before="0" w:after="0"/>
      <w:ind w:left="425" w:hanging="425"/>
      <w:jc w:val="both"/>
    </w:pPr>
    <w:rPr>
      <w:rFonts w:ascii="Arial Narrow" w:hAnsi="Arial Narrow" w:eastAsia="SimSun" w:cs="Mangal"/>
      <w:color w:val="00000A"/>
      <w:kern w:val="0"/>
      <w:sz w:val="22"/>
      <w:szCs w:val="24"/>
      <w:lang w:val="pl-PL" w:eastAsia="hi-IN" w:bidi="hi-IN"/>
    </w:rPr>
  </w:style>
  <w:style w:type="paragraph" w:styleId="Nagwek11" w:customStyle="1">
    <w:name w:val="Nagłówek 11"/>
    <w:basedOn w:val="Normal"/>
    <w:next w:val="Normal"/>
    <w:qFormat/>
    <w:rsid w:val="00457e61"/>
    <w:pPr>
      <w:keepNext w:val="true"/>
      <w:tabs>
        <w:tab w:val="left" w:pos="360" w:leader="none"/>
      </w:tabs>
      <w:ind w:left="360" w:hanging="425"/>
      <w:jc w:val="center"/>
      <w:outlineLvl w:val="0"/>
    </w:pPr>
    <w:rPr>
      <w:b/>
      <w:sz w:val="26"/>
      <w:szCs w:val="24"/>
    </w:rPr>
  </w:style>
  <w:style w:type="paragraph" w:styleId="Nagwek21" w:customStyle="1">
    <w:name w:val="Nagłówek 21"/>
    <w:basedOn w:val="Normal"/>
    <w:next w:val="Normal"/>
    <w:qFormat/>
    <w:rsid w:val="00457e61"/>
    <w:pPr>
      <w:keepNext w:val="true"/>
      <w:spacing w:before="240" w:after="60"/>
      <w:outlineLvl w:val="1"/>
    </w:pPr>
    <w:rPr>
      <w:rFonts w:ascii="Cambria" w:hAnsi="Cambria" w:cs="Cambria"/>
      <w:b/>
      <w:bCs/>
      <w:i/>
      <w:iCs/>
      <w:sz w:val="28"/>
      <w:szCs w:val="28"/>
    </w:rPr>
  </w:style>
  <w:style w:type="paragraph" w:styleId="Nagwek31" w:customStyle="1">
    <w:name w:val="Nagłówek 31"/>
    <w:basedOn w:val="Normal"/>
    <w:next w:val="Normal"/>
    <w:qFormat/>
    <w:rsid w:val="00457e61"/>
    <w:pPr>
      <w:keepNext w:val="true"/>
      <w:spacing w:before="240" w:after="60"/>
      <w:outlineLvl w:val="2"/>
    </w:pPr>
    <w:rPr>
      <w:rFonts w:ascii="Arial" w:hAnsi="Arial" w:cs="Arial"/>
      <w:b/>
      <w:bCs/>
      <w:sz w:val="26"/>
      <w:szCs w:val="26"/>
    </w:rPr>
  </w:style>
  <w:style w:type="paragraph" w:styleId="Nagwek41" w:customStyle="1">
    <w:name w:val="Nagłówek 41"/>
    <w:basedOn w:val="Normal"/>
    <w:next w:val="Normal"/>
    <w:qFormat/>
    <w:rsid w:val="00457e61"/>
    <w:pPr>
      <w:keepNext w:val="true"/>
      <w:spacing w:before="240" w:after="60"/>
      <w:outlineLvl w:val="3"/>
    </w:pPr>
    <w:rPr>
      <w:b/>
      <w:bCs/>
      <w:sz w:val="28"/>
      <w:szCs w:val="28"/>
    </w:rPr>
  </w:style>
  <w:style w:type="paragraph" w:styleId="Normalny2" w:customStyle="1">
    <w:name w:val="Normalny2"/>
    <w:basedOn w:val="Normal"/>
    <w:qFormat/>
    <w:rsid w:val="00ac427e"/>
    <w:pPr>
      <w:widowControl w:val="false"/>
      <w:spacing w:lineRule="atLeast" w:line="200"/>
      <w:ind w:left="0" w:hanging="0"/>
      <w:jc w:val="left"/>
    </w:pPr>
    <w:rPr>
      <w:rFonts w:ascii="Arial" w:hAnsi="Arial"/>
      <w:color w:val="000000"/>
      <w:sz w:val="24"/>
      <w:szCs w:val="24"/>
      <w:lang w:eastAsia="hi-IN" w:bidi="hi-IN"/>
    </w:rPr>
  </w:style>
  <w:style w:type="paragraph" w:styleId="Mainpub" w:customStyle="1">
    <w:name w:val="mainpub"/>
    <w:basedOn w:val="Normal"/>
    <w:qFormat/>
    <w:rsid w:val="005608bb"/>
    <w:pPr>
      <w:spacing w:beforeAutospacing="1" w:afterAutospacing="1"/>
      <w:ind w:left="0" w:hanging="0"/>
      <w:jc w:val="left"/>
    </w:pPr>
    <w:rPr>
      <w:sz w:val="24"/>
      <w:szCs w:val="24"/>
    </w:rPr>
  </w:style>
  <w:style w:type="paragraph" w:styleId="DocumentMap">
    <w:name w:val="Document Map"/>
    <w:basedOn w:val="Normal"/>
    <w:link w:val="MapadokumentuZnak"/>
    <w:semiHidden/>
    <w:unhideWhenUsed/>
    <w:qFormat/>
    <w:rsid w:val="005d486c"/>
    <w:pPr/>
    <w:rPr>
      <w:rFonts w:ascii="Tahoma" w:hAnsi="Tahoma" w:cs="Tahoma"/>
      <w:sz w:val="16"/>
      <w:szCs w:val="16"/>
    </w:rPr>
  </w:style>
  <w:style w:type="paragraph" w:styleId="Normalny3" w:customStyle="1">
    <w:name w:val="Normalny3"/>
    <w:qFormat/>
    <w:rsid w:val="00bd67e4"/>
    <w:pPr>
      <w:widowControl/>
      <w:suppressAutoHyphens w:val="true"/>
      <w:bidi w:val="0"/>
      <w:spacing w:lineRule="auto" w:line="276" w:before="0" w:after="0"/>
      <w:jc w:val="left"/>
    </w:pPr>
    <w:rPr>
      <w:rFonts w:ascii="Arial" w:hAnsi="Arial" w:eastAsia="Arial" w:cs="Arial"/>
      <w:color w:val="00000A"/>
      <w:kern w:val="0"/>
      <w:sz w:val="22"/>
      <w:szCs w:val="22"/>
      <w:lang w:val="pl-PL" w:eastAsia="pl-PL" w:bidi="ar-SA"/>
    </w:rPr>
  </w:style>
  <w:style w:type="paragraph" w:styleId="Msonormal" w:customStyle="1">
    <w:name w:val="msonormal"/>
    <w:basedOn w:val="Normal"/>
    <w:qFormat/>
    <w:rsid w:val="009341fa"/>
    <w:pPr>
      <w:spacing w:beforeAutospacing="1" w:afterAutospacing="1"/>
      <w:ind w:left="0" w:hanging="0"/>
      <w:jc w:val="left"/>
    </w:pPr>
    <w:rPr>
      <w:sz w:val="24"/>
      <w:szCs w:val="24"/>
    </w:rPr>
  </w:style>
  <w:style w:type="paragraph" w:styleId="Styl4" w:customStyle="1">
    <w:name w:val="Styl4"/>
    <w:basedOn w:val="Normal"/>
    <w:qFormat/>
    <w:rsid w:val="009341fa"/>
    <w:pPr>
      <w:tabs>
        <w:tab w:val="left" w:pos="459" w:leader="none"/>
      </w:tabs>
      <w:spacing w:lineRule="auto" w:line="264"/>
      <w:ind w:left="459" w:hanging="459"/>
      <w:jc w:val="left"/>
    </w:pPr>
    <w:rPr>
      <w:rFonts w:ascii="Verdana" w:hAnsi="Verdana" w:cs="Verdana"/>
      <w:b/>
      <w:sz w:val="17"/>
      <w:szCs w:val="17"/>
      <w:lang w:eastAsia="zh-CN"/>
    </w:rPr>
  </w:style>
  <w:style w:type="paragraph" w:styleId="Bodytext51" w:customStyle="1">
    <w:name w:val="Body text (5)"/>
    <w:basedOn w:val="Normal"/>
    <w:link w:val="Bodytext5"/>
    <w:qFormat/>
    <w:rsid w:val="00e36b54"/>
    <w:pPr>
      <w:widowControl w:val="false"/>
      <w:shd w:val="clear" w:color="auto" w:fill="FFFFFF"/>
      <w:spacing w:lineRule="exact" w:line="266"/>
      <w:ind w:left="0" w:hanging="625"/>
      <w:jc w:val="center"/>
    </w:pPr>
    <w:rPr>
      <w:rFonts w:ascii="Arial" w:hAnsi="Arial" w:eastAsia="Arial" w:cs="Arial"/>
      <w:b/>
      <w:bCs/>
      <w:sz w:val="17"/>
      <w:szCs w:val="17"/>
    </w:rPr>
  </w:style>
  <w:style w:type="paragraph" w:styleId="Zawartotabeli" w:customStyle="1">
    <w:name w:val="Zawartość tabeli"/>
    <w:basedOn w:val="Normal"/>
    <w:link w:val="ZawartotabeliZnak"/>
    <w:autoRedefine/>
    <w:qFormat/>
    <w:rsid w:val="00406fa7"/>
    <w:pPr>
      <w:suppressLineNumbers/>
      <w:ind w:left="0" w:hanging="0"/>
      <w:jc w:val="left"/>
      <w:textAlignment w:val="baseline"/>
    </w:pPr>
    <w:rPr>
      <w:rFonts w:ascii="Arial" w:hAnsi="Arial" w:eastAsia="SimSun" w:cs="Arial"/>
      <w:color w:val="333333"/>
      <w:kern w:val="2"/>
      <w:sz w:val="16"/>
      <w:szCs w:val="16"/>
    </w:rPr>
  </w:style>
  <w:style w:type="paragraph" w:styleId="WWNormal" w:customStyle="1">
    <w:name w:val="WW-Normal"/>
    <w:qFormat/>
    <w:rsid w:val="00c70ca7"/>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zh-CN" w:bidi="ar-SA"/>
    </w:rPr>
  </w:style>
  <w:style w:type="paragraph" w:styleId="Tytu">
    <w:name w:val="Title"/>
    <w:basedOn w:val="Normal"/>
    <w:next w:val="Normal"/>
    <w:link w:val="TytuZnak"/>
    <w:uiPriority w:val="10"/>
    <w:qFormat/>
    <w:rsid w:val="00406fa7"/>
    <w:pPr>
      <w:spacing w:before="0" w:after="0"/>
      <w:ind w:left="0" w:hanging="0"/>
      <w:contextualSpacing/>
      <w:jc w:val="left"/>
    </w:pPr>
    <w:rPr>
      <w:rFonts w:ascii="Cambria" w:hAnsi="Cambria" w:eastAsia="" w:cs="" w:asciiTheme="majorHAnsi" w:cstheme="majorBidi" w:eastAsiaTheme="majorEastAsia" w:hAnsiTheme="majorHAnsi"/>
      <w:spacing w:val="-10"/>
      <w:kern w:val="2"/>
      <w:sz w:val="56"/>
      <w:szCs w:val="56"/>
      <w:lang w:eastAsia="en-US"/>
    </w:rPr>
  </w:style>
  <w:style w:type="paragraph" w:styleId="Podtytu">
    <w:name w:val="Subtitle"/>
    <w:basedOn w:val="Normal"/>
    <w:next w:val="Normal"/>
    <w:link w:val="PodtytuZnak"/>
    <w:uiPriority w:val="11"/>
    <w:qFormat/>
    <w:rsid w:val="00406fa7"/>
    <w:pPr>
      <w:spacing w:lineRule="auto" w:line="259" w:before="0" w:after="160"/>
      <w:jc w:val="left"/>
    </w:pPr>
    <w:rPr>
      <w:rFonts w:ascii="Calibri" w:hAnsi="Calibri" w:eastAsia="" w:cs="" w:asciiTheme="minorHAnsi" w:cstheme="minorBidi" w:eastAsiaTheme="minorEastAsia" w:hAnsiTheme="minorHAnsi"/>
      <w:color w:val="5A5A5A" w:themeColor="text1" w:themeTint="a5"/>
      <w:spacing w:val="15"/>
      <w:sz w:val="22"/>
      <w:szCs w:val="22"/>
      <w:lang w:eastAsia="en-US"/>
    </w:rPr>
  </w:style>
  <w:style w:type="paragraph" w:styleId="Caption11" w:customStyle="1">
    <w:name w:val="caption11"/>
    <w:basedOn w:val="Normal"/>
    <w:next w:val="Normal"/>
    <w:uiPriority w:val="35"/>
    <w:unhideWhenUsed/>
    <w:qFormat/>
    <w:rsid w:val="00406fa7"/>
    <w:pPr>
      <w:spacing w:before="0" w:after="200"/>
      <w:ind w:left="0" w:hanging="0"/>
      <w:jc w:val="left"/>
    </w:pPr>
    <w:rPr>
      <w:rFonts w:ascii="Calibri" w:hAnsi="Calibri" w:eastAsia="Calibri" w:cs="" w:asciiTheme="minorHAnsi" w:cstheme="minorBidi" w:eastAsiaTheme="minorHAnsi" w:hAnsiTheme="minorHAnsi"/>
      <w:i/>
      <w:iCs/>
      <w:color w:val="1F497D" w:themeColor="text2"/>
      <w:sz w:val="18"/>
      <w:szCs w:val="18"/>
      <w:lang w:eastAsia="en-US"/>
    </w:rPr>
  </w:style>
  <w:style w:type="paragraph" w:styleId="Revision">
    <w:name w:val="Revision"/>
    <w:uiPriority w:val="99"/>
    <w:semiHidden/>
    <w:qFormat/>
    <w:rsid w:val="00406fa7"/>
    <w:pPr>
      <w:widowControl/>
      <w:suppressAutoHyphens w:val="true"/>
      <w:bidi w:val="0"/>
      <w:spacing w:before="0" w:after="0"/>
      <w:jc w:val="left"/>
    </w:pPr>
    <w:rPr>
      <w:rFonts w:ascii="Calibri" w:hAnsi="Calibri" w:eastAsia="Calibri" w:cs="" w:asciiTheme="minorHAnsi" w:cstheme="minorBidi" w:eastAsiaTheme="minorHAnsi" w:hAnsiTheme="minorHAnsi"/>
      <w:color w:val="00000A"/>
      <w:kern w:val="0"/>
      <w:sz w:val="22"/>
      <w:szCs w:val="22"/>
      <w:lang w:val="pl-PL" w:eastAsia="en-US" w:bidi="ar-SA"/>
    </w:rPr>
  </w:style>
  <w:style w:type="paragraph" w:styleId="Styl8" w:customStyle="1">
    <w:name w:val="Styl8"/>
    <w:basedOn w:val="Normal"/>
    <w:link w:val="Styl8Znak"/>
    <w:qFormat/>
    <w:rsid w:val="00946722"/>
    <w:pPr>
      <w:tabs>
        <w:tab w:val="left" w:pos="709" w:leader="none"/>
      </w:tabs>
      <w:ind w:left="0" w:hanging="0"/>
      <w:jc w:val="center"/>
    </w:pPr>
    <w:rPr>
      <w:rFonts w:ascii="Arial Narrow" w:hAnsi="Arial Narrow" w:cs="Arial"/>
      <w:b/>
      <w:sz w:val="22"/>
      <w:szCs w:val="22"/>
    </w:rPr>
  </w:style>
  <w:style w:type="paragraph" w:styleId="Styl6" w:customStyle="1">
    <w:name w:val="Styl6"/>
    <w:basedOn w:val="Normal"/>
    <w:link w:val="Styl6Znak"/>
    <w:qFormat/>
    <w:rsid w:val="00e824ce"/>
    <w:pPr>
      <w:tabs>
        <w:tab w:val="left" w:pos="709" w:leader="none"/>
      </w:tabs>
      <w:spacing w:before="0" w:after="240"/>
    </w:pPr>
    <w:rPr>
      <w:rFonts w:ascii="Arial Narrow" w:hAnsi="Arial Narrow" w:cs="Arial"/>
      <w:b/>
      <w:bCs/>
      <w:sz w:val="22"/>
      <w:szCs w:val="22"/>
    </w:rPr>
  </w:style>
  <w:style w:type="paragraph" w:styleId="Indexheading1">
    <w:name w:val="index heading1"/>
    <w:basedOn w:val="Gwka"/>
    <w:qFormat/>
    <w:pPr/>
    <w:rPr/>
  </w:style>
  <w:style w:type="paragraph" w:styleId="Nagwekindeksu">
    <w:name w:val="Index Heading"/>
    <w:basedOn w:val="Nagwek"/>
    <w:pPr/>
    <w:rPr/>
  </w:style>
  <w:style w:type="paragraph" w:styleId="TOCHeading">
    <w:name w:val="TOC Heading"/>
    <w:basedOn w:val="Nagwek1"/>
    <w:next w:val="Normal"/>
    <w:uiPriority w:val="39"/>
    <w:unhideWhenUsed/>
    <w:qFormat/>
    <w:rsid w:val="005f6ced"/>
    <w:pPr>
      <w:keepLines/>
      <w:spacing w:lineRule="auto" w:line="259" w:before="240" w:after="0"/>
      <w:ind w:left="0" w:hanging="0"/>
      <w:jc w:val="left"/>
    </w:pPr>
    <w:rPr>
      <w:rFonts w:ascii="Cambria" w:hAnsi="Cambria" w:eastAsia="" w:cs="" w:asciiTheme="majorHAnsi" w:cstheme="majorBidi" w:eastAsiaTheme="majorEastAsia" w:hAnsiTheme="majorHAnsi"/>
      <w:b w:val="false"/>
      <w:color w:val="365F91" w:themeColor="accent1" w:themeShade="bf"/>
      <w:sz w:val="32"/>
      <w:szCs w:val="32"/>
    </w:rPr>
  </w:style>
  <w:style w:type="paragraph" w:styleId="Spistreci1">
    <w:name w:val="TOC 1"/>
    <w:basedOn w:val="Normal"/>
    <w:next w:val="Normal"/>
    <w:autoRedefine/>
    <w:uiPriority w:val="39"/>
    <w:unhideWhenUsed/>
    <w:rsid w:val="00946722"/>
    <w:pPr>
      <w:tabs>
        <w:tab w:val="left" w:pos="0" w:leader="none"/>
        <w:tab w:val="right" w:pos="9911" w:leader="dot"/>
      </w:tabs>
      <w:spacing w:before="0" w:after="240"/>
      <w:ind w:left="426" w:hanging="426"/>
    </w:pPr>
    <w:rPr>
      <w:rFonts w:ascii="Arial Narrow" w:hAnsi="Arial Narrow"/>
      <w:b/>
      <w:sz w:val="22"/>
    </w:rPr>
  </w:style>
  <w:style w:type="paragraph" w:styleId="Spistreci2">
    <w:name w:val="TOC 2"/>
    <w:basedOn w:val="Normal"/>
    <w:next w:val="Normal"/>
    <w:autoRedefine/>
    <w:uiPriority w:val="39"/>
    <w:unhideWhenUsed/>
    <w:rsid w:val="00fb5867"/>
    <w:pPr>
      <w:tabs>
        <w:tab w:val="right" w:pos="9911" w:leader="dot"/>
      </w:tabs>
      <w:spacing w:before="0" w:after="100"/>
      <w:ind w:left="0" w:hanging="0"/>
    </w:pPr>
    <w:rPr/>
  </w:style>
  <w:style w:type="paragraph" w:styleId="Spistreci3">
    <w:name w:val="TOC 3"/>
    <w:basedOn w:val="Normal"/>
    <w:next w:val="Normal"/>
    <w:autoRedefine/>
    <w:uiPriority w:val="39"/>
    <w:unhideWhenUsed/>
    <w:rsid w:val="00ef4617"/>
    <w:pPr>
      <w:spacing w:before="0" w:after="100"/>
      <w:ind w:left="400" w:hanging="425"/>
    </w:pPr>
    <w:rPr/>
  </w:style>
  <w:style w:type="paragraph" w:styleId="DEMIURGPunktator1" w:customStyle="1">
    <w:name w:val="DEMIURG Punktator 1"/>
    <w:basedOn w:val="Normal"/>
    <w:link w:val="DEMIURGPunktator1Znak"/>
    <w:qFormat/>
    <w:rsid w:val="00613259"/>
    <w:pPr>
      <w:keepLines/>
      <w:spacing w:lineRule="auto" w:line="360" w:before="240" w:after="120"/>
      <w:ind w:left="720" w:hanging="360"/>
    </w:pPr>
    <w:rPr>
      <w:rFonts w:ascii="Century Gothic" w:hAnsi="Century Gothic" w:eastAsia="Calibri"/>
      <w:b/>
      <w:szCs w:val="22"/>
      <w:lang w:eastAsia="en-US"/>
    </w:rPr>
  </w:style>
  <w:style w:type="paragraph" w:styleId="Zawartoramki" w:customStyle="1">
    <w:name w:val="Zawartość ramki"/>
    <w:basedOn w:val="Normal"/>
    <w:qFormat/>
    <w:rsid w:val="00c37050"/>
    <w:pPr/>
    <w:rPr/>
  </w:style>
  <w:style w:type="paragraph" w:styleId="Nagwek12" w:customStyle="1">
    <w:name w:val="Nagłówek1"/>
    <w:basedOn w:val="Normal"/>
    <w:next w:val="Tretekstu"/>
    <w:qFormat/>
    <w:rsid w:val="000529e2"/>
    <w:pPr>
      <w:keepNext w:val="true"/>
      <w:spacing w:before="240" w:after="120"/>
    </w:pPr>
    <w:rPr>
      <w:rFonts w:ascii="Arial" w:hAnsi="Arial" w:eastAsia="Microsoft YaHei" w:cs="Mangal"/>
      <w:sz w:val="28"/>
      <w:szCs w:val="28"/>
      <w:lang w:eastAsia="zh-CN"/>
    </w:rPr>
  </w:style>
  <w:style w:type="paragraph" w:styleId="Style11" w:customStyle="1">
    <w:name w:val="Style1"/>
    <w:basedOn w:val="Normal"/>
    <w:qFormat/>
    <w:rsid w:val="00167dc9"/>
    <w:pPr>
      <w:widowControl w:val="false"/>
      <w:jc w:val="left"/>
    </w:pPr>
    <w:rPr>
      <w:sz w:val="24"/>
      <w:lang w:eastAsia="zh-CN"/>
    </w:rPr>
  </w:style>
  <w:style w:type="paragraph" w:styleId="Nagwektabeli" w:customStyle="1">
    <w:name w:val="Nagłówek tabeli"/>
    <w:basedOn w:val="Zawartotabeli"/>
    <w:qFormat/>
    <w:pPr>
      <w:jc w:val="center"/>
    </w:pPr>
    <w:rPr>
      <w:b/>
      <w:bCs/>
    </w:rPr>
  </w:style>
  <w:style w:type="numbering" w:styleId="NoList" w:default="1">
    <w:name w:val="No List"/>
    <w:uiPriority w:val="99"/>
    <w:semiHidden/>
    <w:unhideWhenUsed/>
    <w:qFormat/>
  </w:style>
  <w:style w:type="numbering" w:styleId="Styl1" w:customStyle="1">
    <w:name w:val="Styl1"/>
    <w:qFormat/>
    <w:rsid w:val="002753c7"/>
  </w:style>
  <w:style w:type="numbering" w:styleId="Styl3" w:customStyle="1">
    <w:name w:val="Styl3"/>
    <w:qFormat/>
    <w:rsid w:val="002464d0"/>
  </w:style>
  <w:style w:type="numbering" w:styleId="Styl5" w:customStyle="1">
    <w:name w:val="Styl5"/>
    <w:uiPriority w:val="99"/>
    <w:qFormat/>
    <w:rsid w:val="0058622c"/>
  </w:style>
  <w:style w:type="numbering" w:styleId="Styl31" w:customStyle="1">
    <w:name w:val="Styl31"/>
    <w:qFormat/>
    <w:rsid w:val="00654233"/>
  </w:style>
  <w:style w:type="numbering" w:styleId="Styl51" w:customStyle="1">
    <w:name w:val="Styl51"/>
    <w:uiPriority w:val="99"/>
    <w:qFormat/>
    <w:rsid w:val="00654233"/>
  </w:style>
  <w:style w:type="numbering" w:styleId="Styl11" w:customStyle="1">
    <w:name w:val="Styl11"/>
    <w:qFormat/>
    <w:rsid w:val="00654233"/>
  </w:style>
  <w:style w:type="numbering" w:styleId="Styl12" w:customStyle="1">
    <w:name w:val="Styl12"/>
    <w:qFormat/>
    <w:rsid w:val="00f36873"/>
  </w:style>
  <w:style w:type="numbering" w:styleId="Styl311" w:customStyle="1">
    <w:name w:val="Styl311"/>
    <w:qFormat/>
    <w:rsid w:val="00f36873"/>
  </w:style>
  <w:style w:type="numbering" w:styleId="Styl111" w:customStyle="1">
    <w:name w:val="Styl111"/>
    <w:qFormat/>
    <w:rsid w:val="00f36873"/>
  </w:style>
  <w:style w:type="numbering" w:styleId="Styl32" w:customStyle="1">
    <w:name w:val="Styl32"/>
    <w:qFormat/>
    <w:rsid w:val="00f36873"/>
  </w:style>
  <w:style w:type="numbering" w:styleId="Styl511" w:customStyle="1">
    <w:name w:val="Styl511"/>
    <w:uiPriority w:val="99"/>
    <w:qFormat/>
    <w:rsid w:val="00f36873"/>
  </w:style>
  <w:style w:type="numbering" w:styleId="Styl121" w:customStyle="1">
    <w:name w:val="Styl121"/>
    <w:qFormat/>
    <w:rsid w:val="00f36873"/>
  </w:style>
  <w:style w:type="numbering" w:styleId="Styl312" w:customStyle="1">
    <w:name w:val="Styl312"/>
    <w:qFormat/>
    <w:rsid w:val="00532b37"/>
  </w:style>
  <w:style w:type="numbering" w:styleId="Styl112" w:customStyle="1">
    <w:name w:val="Styl112"/>
    <w:qFormat/>
    <w:rsid w:val="00532b37"/>
  </w:style>
  <w:style w:type="numbering" w:styleId="Styl122" w:customStyle="1">
    <w:name w:val="Styl122"/>
    <w:qFormat/>
    <w:rsid w:val="00532b37"/>
  </w:style>
  <w:style w:type="numbering" w:styleId="Styl3111" w:customStyle="1">
    <w:name w:val="Styl3111"/>
    <w:qFormat/>
    <w:rsid w:val="00532b37"/>
  </w:style>
  <w:style w:type="numbering" w:styleId="Styl1111" w:customStyle="1">
    <w:name w:val="Styl1111"/>
    <w:qFormat/>
    <w:rsid w:val="00532b37"/>
  </w:style>
  <w:style w:type="numbering" w:styleId="Styl5111" w:customStyle="1">
    <w:name w:val="Styl5111"/>
    <w:uiPriority w:val="99"/>
    <w:qFormat/>
    <w:rsid w:val="00532b37"/>
  </w:style>
  <w:style w:type="numbering" w:styleId="Styl1211" w:customStyle="1">
    <w:name w:val="Styl1211"/>
    <w:qFormat/>
    <w:rsid w:val="00532b37"/>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9525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E5FC-D45C-4136-B870-6B1E8E12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Application>LibreOffice/6.0.1.1$Windows_X86_64 LibreOffice_project/60bfb1526849283ce2491346ed2aa51c465abfe6</Application>
  <Pages>10</Pages>
  <Words>3553</Words>
  <Characters>23461</Characters>
  <CharactersWithSpaces>26594</CharactersWithSpaces>
  <Paragraphs>317</Paragraphs>
  <Company>Policja Państwowa 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2026-03-31T11:27:00Z</dcterms:created>
  <dc:creator>Piotr Zasieczny</dc:creator>
  <dc:description/>
  <dc:language>pl-PL</dc:language>
  <cp:lastModifiedBy/>
  <cp:lastPrinted>2025-05-20T05:29:00Z</cp:lastPrinted>
  <dcterms:modified xsi:type="dcterms:W3CDTF">2026-04-01T08:08:30Z</dcterms:modified>
  <cp:revision>4</cp:revision>
  <dc:subject/>
  <dc:title>SIWZ</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Policja Państwowa RP</vt:lpwstr>
  </property>
</Properties>
</file>